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50" w:rsidRDefault="00A70950" w:rsidP="0055177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Програма малих грантів ГЕФ </w:t>
      </w:r>
      <w:r w:rsidR="0055177D" w:rsidRPr="00A70950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55177D" w:rsidRPr="00A70950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Огляд стратегічних пріоритетів на період циклу ГЕФ - 6</w:t>
      </w:r>
      <w:r w:rsidR="0055177D" w:rsidRPr="00A709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:rsidR="00F8136A" w:rsidRPr="007F01EE" w:rsidRDefault="0055177D" w:rsidP="0055177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F01E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(</w:t>
      </w:r>
      <w:r w:rsidR="00A70950" w:rsidRPr="007F01E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="00A709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впровадження</w:t>
      </w:r>
      <w:proofErr w:type="spellEnd"/>
      <w:r w:rsidR="00A70950" w:rsidRPr="007F01E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A709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у</w:t>
      </w:r>
      <w:r w:rsidR="00A70950" w:rsidRPr="007F01E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7F01E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2016 – 2018</w:t>
      </w:r>
      <w:r w:rsidR="00A70950" w:rsidRPr="007F01E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proofErr w:type="gramStart"/>
      <w:r w:rsidR="00A709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роках</w:t>
      </w:r>
      <w:proofErr w:type="gramEnd"/>
      <w:r w:rsidRPr="007F01E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)</w:t>
      </w:r>
    </w:p>
    <w:p w:rsidR="008E1168" w:rsidRPr="00EE3014" w:rsidRDefault="00A70950" w:rsidP="008E1168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У</w:t>
      </w:r>
      <w:r w:rsidRPr="007F01E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2016 </w:t>
      </w:r>
      <w:r w:rsidR="008E1168" w:rsidRPr="007F01EE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– 2018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роках</w:t>
      </w:r>
      <w:r w:rsidR="008E1168" w:rsidRPr="007F01E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ГЕФ ПМГ сфокусується на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ідтримці та координації конкретних дій </w:t>
      </w:r>
      <w:r w:rsidR="00EE3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 рівні громад та надаватиме мікро фінансування для підтримки проектів громад на вибраних ландшафтах. ГЕФ ПМГ розпочинає комунікації щодо можливих сфер підтримки та планує визначити найбільш важливі для громад. </w:t>
      </w:r>
    </w:p>
    <w:p w:rsidR="00EE3014" w:rsidRDefault="00EE3014" w:rsidP="008E1168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 метою збору інформації, визначення типів проектів, що є пріоритетними для громад, та долучення до консультативного процесу на рівні країни, ми звертаємося до партнерів ГЕФ ПМГ з проханням заповнити цей запитальник та надати свої коментарі, щодо визначення пріоритетних сфер для підтримки у вашій громаді. </w:t>
      </w:r>
    </w:p>
    <w:p w:rsidR="0055177D" w:rsidRPr="00EE3014" w:rsidRDefault="00EE3014" w:rsidP="008E1168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Просимо використовувати матеріали презентації «</w:t>
      </w:r>
      <w:r w:rsidRPr="00EE301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Огляд стратегічних пріоритетів на період циклу ГЕФ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–</w:t>
      </w:r>
      <w:r w:rsidRPr="00EE301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6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». </w:t>
      </w:r>
      <w:r w:rsidRPr="00EE301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584ABA" w:rsidRPr="007F01EE" w:rsidRDefault="004440E7" w:rsidP="002225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Визначте, будь ласка, 3 найважливіші пріоритети</w:t>
      </w:r>
      <w:r w:rsidRPr="004440E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F01EE">
        <w:rPr>
          <w:rFonts w:ascii="Times New Roman" w:hAnsi="Times New Roman" w:cs="Times New Roman"/>
          <w:sz w:val="24"/>
          <w:szCs w:val="24"/>
          <w:lang w:val="uk-UA"/>
        </w:rPr>
        <w:t>напрямки для підтримки громад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кожній з тематичних сфер ГЕФ ПМГ. Просимо надати короткі коментарі чи ідеї щодо запропонованих типів проектів громад. </w:t>
      </w:r>
      <w:r w:rsidR="00584ABA" w:rsidRPr="00444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225C4" w:rsidRPr="007F01EE" w:rsidRDefault="002225C4" w:rsidP="002225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84ABA" w:rsidRPr="004440E7" w:rsidRDefault="004440E7" w:rsidP="00584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Проекти ГЕФ ПМГ з питань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агро-екології</w:t>
      </w:r>
      <w:proofErr w:type="spellEnd"/>
    </w:p>
    <w:p w:rsidR="00584ABA" w:rsidRPr="004440E7" w:rsidRDefault="00584ABA" w:rsidP="00584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08"/>
        <w:gridCol w:w="3420"/>
        <w:gridCol w:w="4428"/>
      </w:tblGrid>
      <w:tr w:rsidR="00584ABA" w:rsidRPr="008E1168" w:rsidTr="007F01EE">
        <w:tc>
          <w:tcPr>
            <w:tcW w:w="1008" w:type="dxa"/>
          </w:tcPr>
          <w:p w:rsidR="00584ABA" w:rsidRPr="008E1168" w:rsidRDefault="00584ABA" w:rsidP="00584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68">
              <w:rPr>
                <w:rFonts w:ascii="Times New Roman" w:hAnsi="Times New Roman" w:cs="Times New Roman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3420" w:type="dxa"/>
          </w:tcPr>
          <w:p w:rsidR="00584ABA" w:rsidRPr="004440E7" w:rsidRDefault="004440E7" w:rsidP="002608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Тематика проектів, що фінансуватимуться</w:t>
            </w:r>
          </w:p>
        </w:tc>
        <w:tc>
          <w:tcPr>
            <w:tcW w:w="4428" w:type="dxa"/>
          </w:tcPr>
          <w:p w:rsidR="00584ABA" w:rsidRPr="004440E7" w:rsidRDefault="004440E7" w:rsidP="00444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Коментарі</w:t>
            </w:r>
            <w:r w:rsidR="009F4F67" w:rsidRPr="008E11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ідеї</w:t>
            </w:r>
          </w:p>
        </w:tc>
      </w:tr>
      <w:tr w:rsidR="00584ABA" w:rsidRPr="006771F0" w:rsidTr="007F01EE">
        <w:tc>
          <w:tcPr>
            <w:tcW w:w="1008" w:type="dxa"/>
          </w:tcPr>
          <w:p w:rsidR="00584ABA" w:rsidRPr="008E1168" w:rsidRDefault="00584ABA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F0953" w:rsidRPr="006F0953" w:rsidRDefault="006F0953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садових домогосподарств, що складають багаторівневу та багатовидову систему;</w:t>
            </w:r>
          </w:p>
          <w:p w:rsidR="00584ABA" w:rsidRPr="006F0953" w:rsidRDefault="00584ABA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8" w:type="dxa"/>
          </w:tcPr>
          <w:p w:rsidR="00CB7C4D" w:rsidRPr="007F01EE" w:rsidRDefault="00CB7C4D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4D" w:rsidRPr="007F01EE" w:rsidRDefault="00CB7C4D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4ABA" w:rsidRPr="006771F0" w:rsidTr="007F01EE">
        <w:tc>
          <w:tcPr>
            <w:tcW w:w="1008" w:type="dxa"/>
          </w:tcPr>
          <w:p w:rsidR="00584ABA" w:rsidRPr="007F01EE" w:rsidRDefault="00584ABA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6F0953" w:rsidRPr="006F0953" w:rsidRDefault="006F0953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Одомашнення диких родичів та генетичних ресурсів; З</w:t>
            </w:r>
            <w:r w:rsidRPr="006F095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береження і стале використання генетичного різноманіття культурних рослин, одомашнених тварин та їхніх диких родичів</w:t>
            </w:r>
            <w:r w:rsidR="003D505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;</w:t>
            </w:r>
          </w:p>
          <w:p w:rsidR="00584ABA" w:rsidRPr="006F0953" w:rsidRDefault="00584ABA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8" w:type="dxa"/>
          </w:tcPr>
          <w:p w:rsidR="00CB7C4D" w:rsidRPr="007F01EE" w:rsidRDefault="00CB7C4D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4D" w:rsidRPr="007F01EE" w:rsidRDefault="00CB7C4D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4ABA" w:rsidRPr="006771F0" w:rsidTr="007F01EE">
        <w:tc>
          <w:tcPr>
            <w:tcW w:w="1008" w:type="dxa"/>
          </w:tcPr>
          <w:p w:rsidR="00584ABA" w:rsidRPr="007F01EE" w:rsidRDefault="00584ABA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584ABA" w:rsidRPr="006771F0" w:rsidRDefault="00B67B15" w:rsidP="002608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Проекти, спрямовані на </w:t>
            </w:r>
            <w:r w:rsidR="003D505F"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подолання </w:t>
            </w:r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причин втрати </w:t>
            </w:r>
            <w:proofErr w:type="spellStart"/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біорізноманіття</w:t>
            </w:r>
            <w:proofErr w:type="spellEnd"/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деградації екосистем – втрата </w:t>
            </w:r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природного середовища існування (</w:t>
            </w:r>
            <w:proofErr w:type="spellStart"/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habitat</w:t>
            </w:r>
            <w:proofErr w:type="spellEnd"/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надмірне використання природних ресурсів та розповсюдження </w:t>
            </w:r>
            <w:proofErr w:type="spellStart"/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інвазивних</w:t>
            </w:r>
            <w:proofErr w:type="spellEnd"/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чужорідних видів – шляхом зменшення загроз, приміром, через заохочення сталого користування екосистемами в межах і поза межами заповідних територій</w:t>
            </w:r>
            <w:r w:rsidR="008E1168"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4428" w:type="dxa"/>
          </w:tcPr>
          <w:p w:rsidR="00CB7C4D" w:rsidRPr="006771F0" w:rsidRDefault="006771F0" w:rsidP="00B67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Це досить вагомі проекти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щодо збереження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біорізноманіття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створення національних парків.</w:t>
            </w:r>
          </w:p>
        </w:tc>
      </w:tr>
      <w:tr w:rsidR="00584ABA" w:rsidRPr="006771F0" w:rsidTr="007F01EE">
        <w:tc>
          <w:tcPr>
            <w:tcW w:w="1008" w:type="dxa"/>
          </w:tcPr>
          <w:p w:rsidR="00584ABA" w:rsidRPr="00B67B15" w:rsidRDefault="00584ABA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584ABA" w:rsidRPr="00B67B15" w:rsidRDefault="00B67B15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Введення</w:t>
            </w:r>
            <w:proofErr w:type="spellEnd"/>
            <w:r w:rsidRPr="00B6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B6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просування</w:t>
            </w:r>
            <w:proofErr w:type="spellEnd"/>
            <w:r w:rsidRPr="00B6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агролісомеліорації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агро-лісов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та систем </w:t>
            </w:r>
            <w:r w:rsidRPr="00B6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пасовищ</w:t>
            </w:r>
            <w:proofErr w:type="spellEnd"/>
            <w:r w:rsidRPr="00B6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4428" w:type="dxa"/>
          </w:tcPr>
          <w:p w:rsidR="00584ABA" w:rsidRPr="00B67B15" w:rsidRDefault="00584ABA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4D" w:rsidRPr="00B67B15" w:rsidRDefault="00CB7C4D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4D" w:rsidRPr="00B67B15" w:rsidRDefault="00CB7C4D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4ABA" w:rsidRPr="006771F0" w:rsidTr="007F01EE">
        <w:tc>
          <w:tcPr>
            <w:tcW w:w="1008" w:type="dxa"/>
          </w:tcPr>
          <w:p w:rsidR="00584ABA" w:rsidRPr="00B67B15" w:rsidRDefault="00584ABA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584ABA" w:rsidRPr="003D505F" w:rsidRDefault="003D505F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Поширювати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сприяють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інтегрованому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управлінню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виробничими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ландшафтами та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застосуванням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інноваційних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методологій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практики;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28" w:type="dxa"/>
          </w:tcPr>
          <w:p w:rsidR="00584ABA" w:rsidRPr="00B67B15" w:rsidRDefault="00584ABA" w:rsidP="003D50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4ABA" w:rsidRPr="006771F0" w:rsidTr="007F01EE">
        <w:tc>
          <w:tcPr>
            <w:tcW w:w="1008" w:type="dxa"/>
          </w:tcPr>
          <w:p w:rsidR="00584ABA" w:rsidRPr="00B67B15" w:rsidRDefault="00584ABA" w:rsidP="009F4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584ABA" w:rsidRPr="003D505F" w:rsidRDefault="003D505F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стале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ведення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фермах та ландшафтах (напр.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правильне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 для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ефективного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3D5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4428" w:type="dxa"/>
          </w:tcPr>
          <w:p w:rsidR="00CB7C4D" w:rsidRPr="00B67B15" w:rsidRDefault="00CB7C4D" w:rsidP="003D50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D505F" w:rsidRDefault="003D505F" w:rsidP="009F4F6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F4F67" w:rsidRDefault="003D505F" w:rsidP="009F4F6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зміни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клімату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proofErr w:type="spellStart"/>
      <w:r w:rsidRPr="003D505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Супутні</w:t>
      </w:r>
      <w:proofErr w:type="spellEnd"/>
      <w:r w:rsidRPr="003D50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505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вигоди</w:t>
      </w:r>
      <w:proofErr w:type="spellEnd"/>
      <w:r w:rsidRPr="003D50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доступу до </w:t>
      </w:r>
      <w:proofErr w:type="spellStart"/>
      <w:r w:rsidRPr="003D505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низько-вуглецевої</w:t>
      </w:r>
      <w:proofErr w:type="spellEnd"/>
      <w:r w:rsidRPr="003D50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505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енергетики</w:t>
      </w:r>
      <w:proofErr w:type="spellEnd"/>
    </w:p>
    <w:p w:rsidR="003D505F" w:rsidRPr="003D505F" w:rsidRDefault="003D505F" w:rsidP="009F4F67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098"/>
        <w:gridCol w:w="3330"/>
        <w:gridCol w:w="4428"/>
      </w:tblGrid>
      <w:tr w:rsidR="009F4F67" w:rsidRPr="008E1168" w:rsidTr="006F0953">
        <w:tc>
          <w:tcPr>
            <w:tcW w:w="1098" w:type="dxa"/>
          </w:tcPr>
          <w:p w:rsidR="009F4F67" w:rsidRPr="008E1168" w:rsidRDefault="009F4F67" w:rsidP="00CB7C4D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68">
              <w:rPr>
                <w:rFonts w:ascii="Times New Roman" w:hAnsi="Times New Roman" w:cs="Times New Roman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3330" w:type="dxa"/>
          </w:tcPr>
          <w:p w:rsidR="009F4F67" w:rsidRPr="008E1168" w:rsidRDefault="003D505F" w:rsidP="00260814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  <w:proofErr w:type="spellEnd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проектів</w:t>
            </w:r>
            <w:proofErr w:type="spellEnd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фінансуватимуться</w:t>
            </w:r>
            <w:proofErr w:type="spellEnd"/>
          </w:p>
        </w:tc>
        <w:tc>
          <w:tcPr>
            <w:tcW w:w="4428" w:type="dxa"/>
          </w:tcPr>
          <w:p w:rsidR="009F4F67" w:rsidRPr="008E1168" w:rsidRDefault="003D505F" w:rsidP="00CB7C4D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Коментарі</w:t>
            </w:r>
            <w:proofErr w:type="spellEnd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ідеї</w:t>
            </w:r>
            <w:proofErr w:type="spellEnd"/>
          </w:p>
        </w:tc>
      </w:tr>
      <w:tr w:rsidR="009F4F67" w:rsidRPr="006771F0" w:rsidTr="006F0953">
        <w:tc>
          <w:tcPr>
            <w:tcW w:w="1098" w:type="dxa"/>
          </w:tcPr>
          <w:p w:rsidR="009F4F67" w:rsidRPr="008E1168" w:rsidRDefault="009F4F67" w:rsidP="009F4F6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6F0953" w:rsidRPr="006F0953" w:rsidRDefault="006F0953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Підтримки ініціатив на місцевому рівні щодо доступу до джерел енергії (мала гідро, сонячна енергія, енергія біомаси, енергоефективні печі, інше.) – фокус на ін</w:t>
            </w:r>
            <w:r w:rsidR="00260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овації та масштабуванн</w:t>
            </w:r>
            <w:r w:rsidR="00260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ідей</w:t>
            </w:r>
            <w:r w:rsidR="00260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F4F67" w:rsidRPr="008E1168" w:rsidRDefault="009F4F67" w:rsidP="00260814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CB7C4D" w:rsidRPr="005E6424" w:rsidRDefault="00CB7C4D" w:rsidP="006771F0">
            <w:pPr>
              <w:pStyle w:val="a3"/>
              <w:spacing w:after="200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4D" w:rsidRPr="006771F0" w:rsidRDefault="006771F0" w:rsidP="006771F0">
            <w:pPr>
              <w:pStyle w:val="a3"/>
              <w:spacing w:after="200"/>
              <w:ind w:left="2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проекти енергозбереження, використання альтернативних джерел енергії – це актуально для кожного на сучасному етапі.</w:t>
            </w:r>
          </w:p>
        </w:tc>
      </w:tr>
      <w:tr w:rsidR="009F4F67" w:rsidRPr="008E1168" w:rsidTr="006F0953">
        <w:tc>
          <w:tcPr>
            <w:tcW w:w="1098" w:type="dxa"/>
          </w:tcPr>
          <w:p w:rsidR="009F4F67" w:rsidRPr="006771F0" w:rsidRDefault="009F4F67" w:rsidP="009F4F6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6F0953" w:rsidRPr="006F0953" w:rsidRDefault="006F0953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Відновлювальні джерела енергії у громадах (біогаз, біопаливо, сонячна енергія, енергія біомаси);</w:t>
            </w:r>
          </w:p>
          <w:p w:rsidR="00584ABA" w:rsidRPr="006F0953" w:rsidRDefault="00584ABA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8" w:type="dxa"/>
          </w:tcPr>
          <w:p w:rsidR="00CB7C4D" w:rsidRPr="008E1168" w:rsidRDefault="00CB7C4D" w:rsidP="009F4F6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4D" w:rsidRPr="008E1168" w:rsidRDefault="00CB7C4D" w:rsidP="009F4F6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67" w:rsidRPr="006771F0" w:rsidTr="006F0953">
        <w:tc>
          <w:tcPr>
            <w:tcW w:w="1098" w:type="dxa"/>
          </w:tcPr>
          <w:p w:rsidR="009F4F67" w:rsidRPr="008E1168" w:rsidRDefault="009F4F67" w:rsidP="009F4F6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F4F67" w:rsidRPr="006F0953" w:rsidRDefault="006F0953" w:rsidP="00260814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проектів з енергоефективності (проекти на рівні сіл і малих міст, технічне оснащення та будівлі);</w:t>
            </w:r>
          </w:p>
        </w:tc>
        <w:tc>
          <w:tcPr>
            <w:tcW w:w="4428" w:type="dxa"/>
          </w:tcPr>
          <w:p w:rsidR="009F4F67" w:rsidRPr="005E6424" w:rsidRDefault="006771F0" w:rsidP="006F0953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дуже актуально.</w:t>
            </w:r>
          </w:p>
        </w:tc>
      </w:tr>
      <w:tr w:rsidR="009F4F67" w:rsidRPr="006771F0" w:rsidTr="006F0953">
        <w:tc>
          <w:tcPr>
            <w:tcW w:w="1098" w:type="dxa"/>
          </w:tcPr>
          <w:p w:rsidR="009F4F67" w:rsidRPr="005E6424" w:rsidRDefault="009F4F67" w:rsidP="009F4F6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9F4F67" w:rsidRPr="006F0953" w:rsidRDefault="006F0953" w:rsidP="00260814">
            <w:pPr>
              <w:pStyle w:val="a3"/>
              <w:spacing w:after="200"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спроможності щодо подолання бар</w:t>
            </w:r>
            <w:r w:rsidRPr="006F0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єрів</w:t>
            </w:r>
            <w:proofErr w:type="spellEnd"/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впровадження </w:t>
            </w:r>
            <w:proofErr w:type="spellStart"/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низьковуглецевих</w:t>
            </w:r>
            <w:proofErr w:type="spellEnd"/>
            <w:r w:rsidRPr="006F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</w:t>
            </w:r>
            <w:r w:rsidRPr="006F0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28" w:type="dxa"/>
          </w:tcPr>
          <w:p w:rsidR="009F4F67" w:rsidRPr="006F0953" w:rsidRDefault="009F4F67" w:rsidP="006F0953">
            <w:pPr>
              <w:pStyle w:val="a3"/>
              <w:spacing w:after="200" w:line="276" w:lineRule="auto"/>
              <w:ind w:left="-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0953" w:rsidRDefault="006F0953" w:rsidP="009F4F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7C4D" w:rsidRDefault="003D505F" w:rsidP="009F4F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Проекти ГЕФ ПМГ щодо відходів та хімічних речовин </w:t>
      </w:r>
    </w:p>
    <w:p w:rsidR="003D505F" w:rsidRPr="003D505F" w:rsidRDefault="003D505F" w:rsidP="009F4F6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098"/>
        <w:gridCol w:w="3330"/>
        <w:gridCol w:w="4428"/>
      </w:tblGrid>
      <w:tr w:rsidR="00CB7C4D" w:rsidRPr="008E1168" w:rsidTr="006F0953">
        <w:tc>
          <w:tcPr>
            <w:tcW w:w="1098" w:type="dxa"/>
          </w:tcPr>
          <w:p w:rsidR="00CB7C4D" w:rsidRPr="008E1168" w:rsidRDefault="00CB7C4D" w:rsidP="00CB7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68">
              <w:rPr>
                <w:rFonts w:ascii="Times New Roman" w:hAnsi="Times New Roman" w:cs="Times New Roman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3330" w:type="dxa"/>
          </w:tcPr>
          <w:p w:rsidR="00CB7C4D" w:rsidRPr="008E1168" w:rsidRDefault="003D505F" w:rsidP="00260814">
            <w:pPr>
              <w:pStyle w:val="a3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  <w:proofErr w:type="spellEnd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проектів</w:t>
            </w:r>
            <w:proofErr w:type="spellEnd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фінансуватимуться</w:t>
            </w:r>
            <w:proofErr w:type="spellEnd"/>
          </w:p>
        </w:tc>
        <w:tc>
          <w:tcPr>
            <w:tcW w:w="4428" w:type="dxa"/>
          </w:tcPr>
          <w:p w:rsidR="00CB7C4D" w:rsidRPr="008E1168" w:rsidRDefault="003D505F" w:rsidP="00CB7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Коментарі</w:t>
            </w:r>
            <w:proofErr w:type="spellEnd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05F">
              <w:rPr>
                <w:rFonts w:ascii="Times New Roman" w:hAnsi="Times New Roman" w:cs="Times New Roman"/>
                <w:b/>
                <w:sz w:val="24"/>
                <w:szCs w:val="24"/>
              </w:rPr>
              <w:t>ідеї</w:t>
            </w:r>
            <w:proofErr w:type="spellEnd"/>
          </w:p>
        </w:tc>
      </w:tr>
      <w:tr w:rsidR="00CB7C4D" w:rsidRPr="008E1168" w:rsidTr="006F0953">
        <w:tc>
          <w:tcPr>
            <w:tcW w:w="1098" w:type="dxa"/>
          </w:tcPr>
          <w:p w:rsidR="00CB7C4D" w:rsidRPr="008E1168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A56EB" w:rsidRPr="008E1168" w:rsidRDefault="001A56EB" w:rsidP="002608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7C4D" w:rsidRPr="008E1168" w:rsidRDefault="00257AB3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Проекти щодо поводження з пестицидами </w:t>
            </w:r>
            <w:r w:rsidR="001A56EB" w:rsidRPr="0026081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57A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пакування, зберігання,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екологічно дружня утилізація);  </w:t>
            </w:r>
            <w:r w:rsidR="0026081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Органічне землеробство, технології та альтернативи використанню пестицидів, напр. традиційні знання громади, інше.)</w:t>
            </w:r>
            <w:r w:rsidR="00E63B6B" w:rsidRPr="002608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28" w:type="dxa"/>
          </w:tcPr>
          <w:p w:rsidR="00CB7C4D" w:rsidRPr="008E1168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4D" w:rsidRPr="008E1168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4D" w:rsidRPr="006771F0" w:rsidRDefault="006771F0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проектів органічного землеробства.</w:t>
            </w:r>
          </w:p>
        </w:tc>
      </w:tr>
      <w:tr w:rsidR="00CB7C4D" w:rsidRPr="006771F0" w:rsidTr="006F0953">
        <w:tc>
          <w:tcPr>
            <w:tcW w:w="1098" w:type="dxa"/>
          </w:tcPr>
          <w:p w:rsidR="00CB7C4D" w:rsidRPr="008E1168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B7C4D" w:rsidRPr="00260814" w:rsidRDefault="00260814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Застосуванні та впровадження нехімічних альтернативних методів</w:t>
            </w:r>
          </w:p>
        </w:tc>
        <w:tc>
          <w:tcPr>
            <w:tcW w:w="4428" w:type="dxa"/>
          </w:tcPr>
          <w:p w:rsidR="00CB7C4D" w:rsidRPr="00260814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4D" w:rsidRPr="00260814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4D" w:rsidRPr="00260814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C4D" w:rsidRPr="008E1168" w:rsidTr="006F0953">
        <w:tc>
          <w:tcPr>
            <w:tcW w:w="1098" w:type="dxa"/>
          </w:tcPr>
          <w:p w:rsidR="00CB7C4D" w:rsidRPr="00260814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1A56EB" w:rsidRPr="00260814" w:rsidRDefault="00260814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Поводження з відходами у громадах:</w:t>
            </w:r>
          </w:p>
          <w:p w:rsidR="000B1ED1" w:rsidRPr="008E1168" w:rsidRDefault="00260814" w:rsidP="0026081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Тверді побутові відходи</w:t>
            </w:r>
          </w:p>
          <w:p w:rsidR="000B1ED1" w:rsidRPr="008E1168" w:rsidRDefault="00260814" w:rsidP="0026081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Медичні відходи</w:t>
            </w:r>
          </w:p>
          <w:p w:rsidR="000B1ED1" w:rsidRPr="008E1168" w:rsidRDefault="00260814" w:rsidP="0026081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Електронні відходи </w:t>
            </w:r>
          </w:p>
          <w:p w:rsidR="000B1ED1" w:rsidRPr="008E1168" w:rsidRDefault="00260814" w:rsidP="0026081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Переробка пластику</w:t>
            </w:r>
          </w:p>
          <w:p w:rsidR="00CB7C4D" w:rsidRPr="008E1168" w:rsidRDefault="00CB7C4D" w:rsidP="002608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CB7C4D" w:rsidRPr="008E1168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4D" w:rsidRPr="006771F0" w:rsidTr="006F0953">
        <w:tc>
          <w:tcPr>
            <w:tcW w:w="1098" w:type="dxa"/>
          </w:tcPr>
          <w:p w:rsidR="00CB7C4D" w:rsidRPr="008E1168" w:rsidRDefault="00CB7C4D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B7C4D" w:rsidRPr="00260814" w:rsidRDefault="00260814" w:rsidP="0026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Започаткування на рівні громади пунктів сортування відходів, збору та переробки пластику (напр. сталі села чи міста);</w:t>
            </w:r>
          </w:p>
        </w:tc>
        <w:tc>
          <w:tcPr>
            <w:tcW w:w="4428" w:type="dxa"/>
          </w:tcPr>
          <w:p w:rsidR="00CB7C4D" w:rsidRPr="006771F0" w:rsidRDefault="006771F0" w:rsidP="00CB7C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те що потрібно впроваджувати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підтримувати.</w:t>
            </w:r>
          </w:p>
        </w:tc>
      </w:tr>
    </w:tbl>
    <w:p w:rsidR="00260814" w:rsidRDefault="00260814" w:rsidP="008E11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60814" w:rsidRDefault="00260814" w:rsidP="008E11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E1168" w:rsidRDefault="00260814" w:rsidP="008E11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Заповнені запитальники та ідеї щодо пріоритетних проектів у громадах просимо надсилати до 30 вересня 2015 року: </w:t>
      </w:r>
    </w:p>
    <w:p w:rsidR="00260814" w:rsidRPr="00260814" w:rsidRDefault="00260814" w:rsidP="008E1168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E1168" w:rsidRPr="00260814" w:rsidRDefault="00260814" w:rsidP="008E1168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Офіс ГЕФ ПМГ</w:t>
      </w:r>
    </w:p>
    <w:p w:rsidR="008E1168" w:rsidRPr="00260814" w:rsidRDefault="008E1168" w:rsidP="008E116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E1168" w:rsidRPr="00260814" w:rsidRDefault="00260814" w:rsidP="008E116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Україна, 01021, м Київ,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узвіз 1 або </w:t>
      </w:r>
    </w:p>
    <w:p w:rsidR="008E1168" w:rsidRPr="00260814" w:rsidRDefault="008E1168" w:rsidP="008E116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E1168" w:rsidRDefault="008E1168" w:rsidP="008E116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E116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6081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1168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Pr="0026081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="00260814" w:rsidRPr="00F5407C">
          <w:rPr>
            <w:rStyle w:val="a5"/>
            <w:rFonts w:ascii="Times New Roman" w:hAnsi="Times New Roman" w:cs="Times New Roman"/>
            <w:sz w:val="24"/>
            <w:szCs w:val="24"/>
            <w:lang w:val="fr-FR"/>
          </w:rPr>
          <w:t>gefsgpukr</w:t>
        </w:r>
        <w:r w:rsidR="00260814" w:rsidRPr="00F5407C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260814" w:rsidRPr="00F5407C">
          <w:rPr>
            <w:rStyle w:val="a5"/>
            <w:rFonts w:ascii="Times New Roman" w:hAnsi="Times New Roman" w:cs="Times New Roman"/>
            <w:sz w:val="24"/>
            <w:szCs w:val="24"/>
            <w:lang w:val="fr-FR"/>
          </w:rPr>
          <w:t>gmail</w:t>
        </w:r>
        <w:r w:rsidR="00260814" w:rsidRPr="00F5407C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60814" w:rsidRPr="00F5407C">
          <w:rPr>
            <w:rStyle w:val="a5"/>
            <w:rFonts w:ascii="Times New Roman" w:hAnsi="Times New Roman" w:cs="Times New Roman"/>
            <w:sz w:val="24"/>
            <w:szCs w:val="24"/>
            <w:lang w:val="fr-FR"/>
          </w:rPr>
          <w:t>com</w:t>
        </w:r>
      </w:hyperlink>
      <w:r w:rsidRPr="0026081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60814" w:rsidRDefault="00260814" w:rsidP="008E11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60814" w:rsidRPr="00260814" w:rsidRDefault="00260814" w:rsidP="008E11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Дякуємо за співпрацю!</w:t>
      </w:r>
    </w:p>
    <w:p w:rsidR="008E1168" w:rsidRPr="00260814" w:rsidRDefault="008E1168" w:rsidP="008E116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60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1168" w:rsidRPr="00260814" w:rsidRDefault="008E116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E1168" w:rsidRPr="00260814" w:rsidSect="00163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1B3"/>
    <w:multiLevelType w:val="hybridMultilevel"/>
    <w:tmpl w:val="1390D8E2"/>
    <w:lvl w:ilvl="0" w:tplc="E0943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209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25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CC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0B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86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8A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6C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21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446C4D"/>
    <w:multiLevelType w:val="hybridMultilevel"/>
    <w:tmpl w:val="0C7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81C0F"/>
    <w:multiLevelType w:val="hybridMultilevel"/>
    <w:tmpl w:val="3F3C5692"/>
    <w:lvl w:ilvl="0" w:tplc="74426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1C7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8E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67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8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02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AE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88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C9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3F1C55"/>
    <w:multiLevelType w:val="hybridMultilevel"/>
    <w:tmpl w:val="2B3E3CC8"/>
    <w:lvl w:ilvl="0" w:tplc="4B3EF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0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22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CC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46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A4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80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A8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A1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B63C2E"/>
    <w:multiLevelType w:val="hybridMultilevel"/>
    <w:tmpl w:val="0520F812"/>
    <w:lvl w:ilvl="0" w:tplc="6CC40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E2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8A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B0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2C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C6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4F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CC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5E389D"/>
    <w:multiLevelType w:val="hybridMultilevel"/>
    <w:tmpl w:val="AD68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30670"/>
    <w:multiLevelType w:val="hybridMultilevel"/>
    <w:tmpl w:val="56FC8098"/>
    <w:lvl w:ilvl="0" w:tplc="C8DC4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61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61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B01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E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62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28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8D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C9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FD7263"/>
    <w:multiLevelType w:val="hybridMultilevel"/>
    <w:tmpl w:val="415CC86C"/>
    <w:lvl w:ilvl="0" w:tplc="4E88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62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E3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46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68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E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2A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EF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A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E50F37"/>
    <w:multiLevelType w:val="hybridMultilevel"/>
    <w:tmpl w:val="014C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032ED"/>
    <w:multiLevelType w:val="hybridMultilevel"/>
    <w:tmpl w:val="EE30647C"/>
    <w:lvl w:ilvl="0" w:tplc="65BEA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8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C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01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CD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8C7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C6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2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0F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FD64A4"/>
    <w:multiLevelType w:val="hybridMultilevel"/>
    <w:tmpl w:val="41BAEAC2"/>
    <w:lvl w:ilvl="0" w:tplc="B5C6FB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4E72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E93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647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885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0FF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C07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443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05A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77D"/>
    <w:rsid w:val="000B1ED1"/>
    <w:rsid w:val="00163860"/>
    <w:rsid w:val="001A56EB"/>
    <w:rsid w:val="002225C4"/>
    <w:rsid w:val="00257AB3"/>
    <w:rsid w:val="00260814"/>
    <w:rsid w:val="003D505F"/>
    <w:rsid w:val="004440E7"/>
    <w:rsid w:val="0055177D"/>
    <w:rsid w:val="00584ABA"/>
    <w:rsid w:val="005E6424"/>
    <w:rsid w:val="006771F0"/>
    <w:rsid w:val="006F0953"/>
    <w:rsid w:val="007F01EE"/>
    <w:rsid w:val="008E1168"/>
    <w:rsid w:val="009F4F67"/>
    <w:rsid w:val="00A617FF"/>
    <w:rsid w:val="00A70950"/>
    <w:rsid w:val="00B67B15"/>
    <w:rsid w:val="00C9259A"/>
    <w:rsid w:val="00CB7C4D"/>
    <w:rsid w:val="00CC0C78"/>
    <w:rsid w:val="00E63B6B"/>
    <w:rsid w:val="00EE3014"/>
    <w:rsid w:val="00F8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ABA"/>
    <w:pPr>
      <w:ind w:left="720"/>
      <w:contextualSpacing/>
    </w:pPr>
  </w:style>
  <w:style w:type="table" w:styleId="a4">
    <w:name w:val="Table Grid"/>
    <w:basedOn w:val="a1"/>
    <w:uiPriority w:val="59"/>
    <w:rsid w:val="0058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1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BA"/>
    <w:pPr>
      <w:ind w:left="720"/>
      <w:contextualSpacing/>
    </w:pPr>
  </w:style>
  <w:style w:type="table" w:styleId="TableGrid">
    <w:name w:val="Table Grid"/>
    <w:basedOn w:val="TableNormal"/>
    <w:uiPriority w:val="59"/>
    <w:rsid w:val="0058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1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7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6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54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4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3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9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8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7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2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4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4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8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9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5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3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3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428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0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1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fsgpuk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Nigorodova</dc:creator>
  <cp:lastModifiedBy>Admin</cp:lastModifiedBy>
  <cp:revision>7</cp:revision>
  <cp:lastPrinted>2015-08-14T09:01:00Z</cp:lastPrinted>
  <dcterms:created xsi:type="dcterms:W3CDTF">2015-08-14T09:19:00Z</dcterms:created>
  <dcterms:modified xsi:type="dcterms:W3CDTF">2015-09-30T12:32:00Z</dcterms:modified>
</cp:coreProperties>
</file>