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CF4" w:rsidRDefault="004D7CF4" w:rsidP="0046218D">
      <w:pPr>
        <w:autoSpaceDE w:val="0"/>
        <w:autoSpaceDN w:val="0"/>
        <w:adjustRightInd w:val="0"/>
        <w:jc w:val="both"/>
        <w:rPr>
          <w:rFonts w:asciiTheme="minorHAnsi" w:hAnsiTheme="minorHAnsi"/>
          <w:b/>
          <w:smallCaps/>
          <w:sz w:val="28"/>
          <w:szCs w:val="28"/>
          <w:lang w:val="en-GB"/>
        </w:rPr>
      </w:pPr>
    </w:p>
    <w:p w:rsidR="004D7CF4" w:rsidRPr="005639DE" w:rsidRDefault="004D7CF4" w:rsidP="006266DB">
      <w:pPr>
        <w:autoSpaceDE w:val="0"/>
        <w:autoSpaceDN w:val="0"/>
        <w:adjustRightInd w:val="0"/>
        <w:jc w:val="center"/>
        <w:rPr>
          <w:b/>
          <w:smallCaps/>
          <w:lang w:val="en-GB"/>
        </w:rPr>
      </w:pPr>
      <w:r w:rsidRPr="005639DE">
        <w:rPr>
          <w:b/>
          <w:smallCaps/>
          <w:lang w:val="en-GB"/>
        </w:rPr>
        <w:t>The GEF Small Grants Programme</w:t>
      </w:r>
    </w:p>
    <w:p w:rsidR="0061306A" w:rsidRPr="005639DE" w:rsidRDefault="00924CEE" w:rsidP="006266DB">
      <w:pPr>
        <w:jc w:val="center"/>
        <w:rPr>
          <w:b/>
          <w:bCs/>
        </w:rPr>
      </w:pPr>
      <w:r w:rsidRPr="005639DE">
        <w:rPr>
          <w:b/>
          <w:bCs/>
        </w:rPr>
        <w:t>TECHNICAL GUIDANCE NOTE</w:t>
      </w:r>
    </w:p>
    <w:p w:rsidR="00CA073E" w:rsidRPr="005639DE" w:rsidRDefault="00CA073E" w:rsidP="006266DB">
      <w:pPr>
        <w:jc w:val="center"/>
        <w:rPr>
          <w:b/>
          <w:bCs/>
        </w:rPr>
      </w:pPr>
    </w:p>
    <w:p w:rsidR="0061306A" w:rsidRPr="005639DE" w:rsidRDefault="00CA073E" w:rsidP="001C0893">
      <w:pPr>
        <w:jc w:val="center"/>
        <w:rPr>
          <w:b/>
          <w:bCs/>
          <w:smallCaps/>
        </w:rPr>
      </w:pPr>
      <w:r w:rsidRPr="005639DE">
        <w:rPr>
          <w:b/>
          <w:bCs/>
          <w:smallCaps/>
        </w:rPr>
        <w:t>Chemicals and Waste Focal Area</w:t>
      </w:r>
    </w:p>
    <w:p w:rsidR="001C0893" w:rsidRPr="005639DE" w:rsidRDefault="001C0893" w:rsidP="001C0893">
      <w:pPr>
        <w:jc w:val="center"/>
        <w:rPr>
          <w:b/>
          <w:bCs/>
          <w:smallCaps/>
        </w:rPr>
      </w:pPr>
    </w:p>
    <w:p w:rsidR="001C0893" w:rsidRPr="005639DE" w:rsidRDefault="001C0893" w:rsidP="001C0893">
      <w:pPr>
        <w:jc w:val="center"/>
        <w:rPr>
          <w:b/>
          <w:bCs/>
        </w:rPr>
      </w:pPr>
    </w:p>
    <w:p w:rsidR="00464D06" w:rsidRPr="005639DE" w:rsidRDefault="005639DE" w:rsidP="0046218D">
      <w:pPr>
        <w:jc w:val="both"/>
        <w:rPr>
          <w:b/>
        </w:rPr>
      </w:pPr>
      <w:r w:rsidRPr="005639DE">
        <w:rPr>
          <w:b/>
        </w:rPr>
        <w:t>Introduction</w:t>
      </w:r>
    </w:p>
    <w:p w:rsidR="005639DE" w:rsidRPr="005639DE" w:rsidRDefault="005639DE" w:rsidP="0046218D">
      <w:pPr>
        <w:jc w:val="both"/>
        <w:rPr>
          <w:caps/>
        </w:rPr>
      </w:pPr>
    </w:p>
    <w:p w:rsidR="00CA073E" w:rsidRPr="00CA073E" w:rsidRDefault="00CA073E" w:rsidP="00CA073E">
      <w:pPr>
        <w:autoSpaceDE w:val="0"/>
        <w:autoSpaceDN w:val="0"/>
        <w:adjustRightInd w:val="0"/>
        <w:rPr>
          <w:rFonts w:eastAsiaTheme="minorEastAsia"/>
          <w:color w:val="000000"/>
          <w:lang w:eastAsia="zh-CN"/>
        </w:rPr>
      </w:pPr>
      <w:r w:rsidRPr="005639DE">
        <w:rPr>
          <w:rFonts w:eastAsiaTheme="minorEastAsia"/>
          <w:color w:val="000000"/>
          <w:lang w:eastAsia="zh-CN"/>
        </w:rPr>
        <w:t>Chemicals are an integral part of daily life in today’s</w:t>
      </w:r>
      <w:r w:rsidRPr="00CA073E">
        <w:rPr>
          <w:rFonts w:eastAsiaTheme="minorEastAsia"/>
          <w:color w:val="000000"/>
          <w:lang w:eastAsia="zh-CN"/>
        </w:rPr>
        <w:t xml:space="preserve"> world. There is hardly any industry where chemicals are not used and there is no single economic sector where chemicals do not play an important role.  The OECD’s Environmental Outlook to 2050 notes that while annual global chemical sales doubled over the period 2000 to 2009, OECD’s share decreased from 77% </w:t>
      </w:r>
      <w:r w:rsidR="00C37F44">
        <w:rPr>
          <w:rFonts w:eastAsiaTheme="minorEastAsia"/>
          <w:color w:val="000000"/>
          <w:lang w:eastAsia="zh-CN"/>
        </w:rPr>
        <w:t>to 63% and the share of the BRI</w:t>
      </w:r>
      <w:r w:rsidRPr="00CA073E">
        <w:rPr>
          <w:rFonts w:eastAsiaTheme="minorEastAsia"/>
          <w:color w:val="000000"/>
          <w:lang w:eastAsia="zh-CN"/>
        </w:rPr>
        <w:t>CS countries (Brazil, Russia, India, Indonesia, China, and South Africa) increased from 13% to 28%.  Studies, projecting trends to 2050, forecast that global chemical sales will grow about 3% per year to 2050.</w:t>
      </w:r>
      <w:r w:rsidRPr="00CA073E">
        <w:rPr>
          <w:rFonts w:eastAsiaTheme="minorEastAsia"/>
          <w:color w:val="000000"/>
          <w:vertAlign w:val="superscript"/>
          <w:lang w:eastAsia="zh-CN"/>
        </w:rPr>
        <w:footnoteReference w:id="1"/>
      </w:r>
    </w:p>
    <w:p w:rsidR="00CA073E" w:rsidRPr="00CA073E" w:rsidRDefault="00CA073E" w:rsidP="00CA073E">
      <w:pPr>
        <w:autoSpaceDE w:val="0"/>
        <w:autoSpaceDN w:val="0"/>
        <w:adjustRightInd w:val="0"/>
        <w:rPr>
          <w:rFonts w:eastAsiaTheme="minorEastAsia"/>
          <w:color w:val="000000"/>
          <w:lang w:eastAsia="zh-CN"/>
        </w:rPr>
      </w:pPr>
    </w:p>
    <w:p w:rsidR="00CA073E" w:rsidRPr="00CA073E" w:rsidRDefault="00CA073E" w:rsidP="00CA073E">
      <w:pPr>
        <w:autoSpaceDE w:val="0"/>
        <w:autoSpaceDN w:val="0"/>
        <w:adjustRightInd w:val="0"/>
        <w:rPr>
          <w:rFonts w:eastAsiaTheme="minorEastAsia"/>
          <w:lang w:eastAsia="zh-CN"/>
        </w:rPr>
      </w:pPr>
      <w:r w:rsidRPr="00CA073E">
        <w:rPr>
          <w:rFonts w:eastAsiaTheme="minorEastAsia"/>
          <w:lang w:eastAsia="zh-CN"/>
        </w:rPr>
        <w:t>The Global Environmental Outlook (UNEP GEO-5) pointed out the overwhelming majority of impacts from unsafe chemical use and unsound waste disposal, including death, impairment of health and ecosystem degradation, occur in situations of poverty.  Increased risks of exposure to toxic and hazardous chemicals and wastes predominantly affect the poor, who routinely face such risks because of their occupation, poor living standards and lack of knowledge about the detrimental impacts of exposure to these chemicals and wastes. Many of the poor enter the informal sector of the economy where they may encounter new kinds of toxic hazards such as electronic and electrical waste (e-waste). Children are particularly susceptible to the negative health impacts of chemicals due to their rapid growth and development and greater exposure relative to body weight.</w:t>
      </w:r>
      <w:r w:rsidRPr="00CA073E">
        <w:rPr>
          <w:rFonts w:eastAsiaTheme="minorEastAsia"/>
          <w:vertAlign w:val="superscript"/>
          <w:lang w:eastAsia="zh-CN"/>
        </w:rPr>
        <w:footnoteReference w:id="2"/>
      </w:r>
      <w:r w:rsidRPr="00CA073E">
        <w:rPr>
          <w:rFonts w:eastAsiaTheme="minorEastAsia"/>
          <w:lang w:eastAsia="zh-CN"/>
        </w:rPr>
        <w:t xml:space="preserve">  </w:t>
      </w:r>
    </w:p>
    <w:p w:rsidR="00CA073E" w:rsidRPr="00CA073E" w:rsidRDefault="00CA073E" w:rsidP="00CA073E">
      <w:pPr>
        <w:autoSpaceDE w:val="0"/>
        <w:autoSpaceDN w:val="0"/>
        <w:adjustRightInd w:val="0"/>
        <w:rPr>
          <w:rFonts w:eastAsiaTheme="minorEastAsia"/>
          <w:lang w:eastAsia="zh-CN"/>
        </w:rPr>
      </w:pPr>
    </w:p>
    <w:p w:rsidR="00CA073E" w:rsidRPr="00CA073E" w:rsidRDefault="00CA073E" w:rsidP="00CA073E">
      <w:pPr>
        <w:autoSpaceDE w:val="0"/>
        <w:autoSpaceDN w:val="0"/>
        <w:adjustRightInd w:val="0"/>
        <w:rPr>
          <w:rFonts w:eastAsiaTheme="minorEastAsia"/>
          <w:lang w:eastAsia="zh-CN"/>
        </w:rPr>
      </w:pPr>
      <w:r w:rsidRPr="00CA073E">
        <w:rPr>
          <w:rFonts w:eastAsiaTheme="minorEastAsia"/>
          <w:lang w:eastAsia="zh-CN"/>
        </w:rPr>
        <w:t>Global conventions and frameworks related to chemicals management recognizes the importance to work with poor and vulnerable communities.  Strategic Approach to International Chemicals Management (SAICM) states in paragraph 9.a:</w:t>
      </w:r>
    </w:p>
    <w:p w:rsidR="00CA073E" w:rsidRPr="00CA073E" w:rsidRDefault="00CA073E" w:rsidP="00CA073E">
      <w:pPr>
        <w:autoSpaceDE w:val="0"/>
        <w:autoSpaceDN w:val="0"/>
        <w:adjustRightInd w:val="0"/>
        <w:rPr>
          <w:rFonts w:eastAsiaTheme="minorEastAsia"/>
          <w:lang w:eastAsia="zh-CN"/>
        </w:rPr>
      </w:pPr>
    </w:p>
    <w:p w:rsidR="00CA073E" w:rsidRPr="00CA073E" w:rsidRDefault="00CA073E" w:rsidP="00CA073E">
      <w:pPr>
        <w:autoSpaceDE w:val="0"/>
        <w:autoSpaceDN w:val="0"/>
        <w:adjustRightInd w:val="0"/>
        <w:ind w:left="720" w:right="720"/>
        <w:rPr>
          <w:rFonts w:eastAsiaTheme="minorEastAsia"/>
          <w:lang w:eastAsia="zh-CN"/>
        </w:rPr>
      </w:pPr>
      <w:r w:rsidRPr="00CA073E">
        <w:rPr>
          <w:rFonts w:eastAsiaTheme="minorEastAsia"/>
          <w:lang w:eastAsia="zh-CN"/>
        </w:rPr>
        <w:t>“Governance is an important issue that needs to be addressed through a multi-sector and multi-stakeholder approach in pursuing the sound management of chemicals. There is therefore a need to recognize</w:t>
      </w:r>
      <w:proofErr w:type="gramStart"/>
      <w:r w:rsidRPr="00CA073E">
        <w:rPr>
          <w:rFonts w:eastAsiaTheme="minorEastAsia"/>
          <w:lang w:eastAsia="zh-CN"/>
        </w:rPr>
        <w:t>…  in</w:t>
      </w:r>
      <w:proofErr w:type="gramEnd"/>
      <w:r w:rsidRPr="00CA073E">
        <w:rPr>
          <w:rFonts w:eastAsiaTheme="minorEastAsia"/>
          <w:lang w:eastAsia="zh-CN"/>
        </w:rPr>
        <w:t xml:space="preserve"> many countries some stakeholders, particularly women and indigenous communities, still do not participate in all aspects of decision-making related to the sound management of chemicals, a situation which needs to be addressed.”</w:t>
      </w:r>
    </w:p>
    <w:p w:rsidR="00CA073E" w:rsidRPr="00CA073E" w:rsidRDefault="00CA073E" w:rsidP="00CA073E">
      <w:pPr>
        <w:autoSpaceDE w:val="0"/>
        <w:autoSpaceDN w:val="0"/>
        <w:adjustRightInd w:val="0"/>
        <w:rPr>
          <w:rFonts w:eastAsiaTheme="minorEastAsia"/>
          <w:lang w:eastAsia="zh-CN"/>
        </w:rPr>
      </w:pPr>
    </w:p>
    <w:p w:rsidR="00CA073E" w:rsidRPr="00CA073E" w:rsidRDefault="00CA073E" w:rsidP="00CA073E">
      <w:pPr>
        <w:autoSpaceDE w:val="0"/>
        <w:autoSpaceDN w:val="0"/>
        <w:adjustRightInd w:val="0"/>
        <w:rPr>
          <w:rFonts w:eastAsiaTheme="minorEastAsia"/>
          <w:lang w:eastAsia="zh-CN"/>
        </w:rPr>
      </w:pPr>
      <w:r w:rsidRPr="00CA073E">
        <w:rPr>
          <w:rFonts w:eastAsiaTheme="minorEastAsia"/>
          <w:lang w:eastAsia="zh-CN"/>
        </w:rPr>
        <w:t>Despite the fundamental needs of poor and vulnerable communities and obligations under global conventions and policy frameworks, global efforts have been inadequate to address the challenges at the community level due to the following implementation gaps:</w:t>
      </w:r>
    </w:p>
    <w:p w:rsidR="00CA073E" w:rsidRPr="00CA073E" w:rsidRDefault="00CA073E" w:rsidP="00CA073E">
      <w:pPr>
        <w:autoSpaceDE w:val="0"/>
        <w:autoSpaceDN w:val="0"/>
        <w:adjustRightInd w:val="0"/>
        <w:rPr>
          <w:rFonts w:eastAsiaTheme="minorEastAsia"/>
          <w:lang w:eastAsia="zh-CN"/>
        </w:rPr>
      </w:pPr>
    </w:p>
    <w:p w:rsidR="00CA073E" w:rsidRPr="00CA073E" w:rsidRDefault="00CA073E" w:rsidP="00CA073E">
      <w:pPr>
        <w:numPr>
          <w:ilvl w:val="0"/>
          <w:numId w:val="25"/>
        </w:numPr>
        <w:autoSpaceDE w:val="0"/>
        <w:autoSpaceDN w:val="0"/>
        <w:adjustRightInd w:val="0"/>
        <w:spacing w:after="200" w:line="276" w:lineRule="auto"/>
        <w:contextualSpacing/>
        <w:rPr>
          <w:rFonts w:eastAsiaTheme="minorEastAsia"/>
          <w:lang w:eastAsia="zh-CN"/>
        </w:rPr>
      </w:pPr>
      <w:r w:rsidRPr="00CA073E">
        <w:rPr>
          <w:rFonts w:eastAsiaTheme="minorEastAsia"/>
          <w:b/>
          <w:i/>
          <w:lang w:eastAsia="zh-CN"/>
        </w:rPr>
        <w:lastRenderedPageBreak/>
        <w:t>Low community awareness, knowledge and technical capacity</w:t>
      </w:r>
      <w:r w:rsidRPr="00CA073E">
        <w:rPr>
          <w:rFonts w:eastAsiaTheme="minorEastAsia"/>
          <w:lang w:eastAsia="zh-CN"/>
        </w:rPr>
        <w:t xml:space="preserve"> with chemicals, heavy metals and wastes.  The impacts of chemicals and heavy metals on human and ecosystems are not always obvious to local communities, with low recognition until scientific or medical tests are done, which poor and vulnerable communities lack.</w:t>
      </w:r>
    </w:p>
    <w:p w:rsidR="00CA073E" w:rsidRPr="00CA073E" w:rsidRDefault="00CA073E" w:rsidP="00CA073E">
      <w:pPr>
        <w:numPr>
          <w:ilvl w:val="0"/>
          <w:numId w:val="25"/>
        </w:numPr>
        <w:autoSpaceDE w:val="0"/>
        <w:autoSpaceDN w:val="0"/>
        <w:adjustRightInd w:val="0"/>
        <w:spacing w:after="200" w:line="276" w:lineRule="auto"/>
        <w:contextualSpacing/>
        <w:rPr>
          <w:rFonts w:eastAsiaTheme="minorEastAsia"/>
          <w:lang w:eastAsia="zh-CN"/>
        </w:rPr>
      </w:pPr>
      <w:r w:rsidRPr="00CA073E">
        <w:rPr>
          <w:rFonts w:eastAsiaTheme="minorEastAsia"/>
          <w:b/>
          <w:i/>
          <w:lang w:eastAsia="zh-CN"/>
        </w:rPr>
        <w:t>Lack of national and local policies, standards and procedures in chemicals, heavy metals and handling of wastes.</w:t>
      </w:r>
      <w:r w:rsidRPr="00CA073E">
        <w:rPr>
          <w:rFonts w:eastAsiaTheme="minorEastAsia"/>
          <w:lang w:eastAsia="zh-CN"/>
        </w:rPr>
        <w:t xml:space="preserve">  Even in some countries or locations where such policies exist, the implementation remains weak due to the lack of capacity and financial resources.</w:t>
      </w:r>
    </w:p>
    <w:p w:rsidR="00CA073E" w:rsidRPr="00CA073E" w:rsidRDefault="00CA073E" w:rsidP="00CA073E">
      <w:pPr>
        <w:numPr>
          <w:ilvl w:val="0"/>
          <w:numId w:val="25"/>
        </w:numPr>
        <w:autoSpaceDE w:val="0"/>
        <w:autoSpaceDN w:val="0"/>
        <w:adjustRightInd w:val="0"/>
        <w:spacing w:after="200" w:line="276" w:lineRule="auto"/>
        <w:contextualSpacing/>
        <w:rPr>
          <w:rFonts w:eastAsiaTheme="minorEastAsia"/>
          <w:lang w:eastAsia="zh-CN"/>
        </w:rPr>
      </w:pPr>
      <w:r w:rsidRPr="00CA073E">
        <w:rPr>
          <w:rFonts w:eastAsiaTheme="minorEastAsia"/>
          <w:b/>
          <w:i/>
          <w:lang w:eastAsia="zh-CN"/>
        </w:rPr>
        <w:t>Lack of alternative livelihoods or environmentally friendly alternatives to chemicals and heavy metals in use.</w:t>
      </w:r>
      <w:r w:rsidRPr="00CA073E">
        <w:rPr>
          <w:rFonts w:eastAsiaTheme="minorEastAsia"/>
          <w:lang w:eastAsia="zh-CN"/>
        </w:rPr>
        <w:t xml:space="preserve">  Communities sometimes use harmful chemicals and heavy metals for their economic activities, and choose to take negative effects because they depend on these harmful substances for their economic returns.  The use of pesticides for crops, mercury in artisanal gold mining, and handling of e-waste are examples of such behaviors.</w:t>
      </w:r>
    </w:p>
    <w:p w:rsidR="00CA073E" w:rsidRPr="00CA073E" w:rsidRDefault="00CA073E" w:rsidP="00CA073E">
      <w:pPr>
        <w:numPr>
          <w:ilvl w:val="0"/>
          <w:numId w:val="25"/>
        </w:numPr>
        <w:autoSpaceDE w:val="0"/>
        <w:autoSpaceDN w:val="0"/>
        <w:adjustRightInd w:val="0"/>
        <w:spacing w:after="200" w:line="276" w:lineRule="auto"/>
        <w:contextualSpacing/>
        <w:rPr>
          <w:rFonts w:eastAsiaTheme="minorEastAsia"/>
          <w:lang w:eastAsia="zh-CN"/>
        </w:rPr>
      </w:pPr>
      <w:r w:rsidRPr="00CA073E">
        <w:rPr>
          <w:rFonts w:eastAsiaTheme="minorEastAsia"/>
          <w:b/>
          <w:i/>
          <w:lang w:eastAsia="zh-CN"/>
        </w:rPr>
        <w:t>International trade of e-waste</w:t>
      </w:r>
      <w:r w:rsidRPr="00CA073E">
        <w:rPr>
          <w:rFonts w:eastAsiaTheme="minorEastAsia"/>
          <w:lang w:eastAsia="zh-CN"/>
        </w:rPr>
        <w:t xml:space="preserve"> has shifted the burden to developing countries.  The e-waste is then handled mostly by the poorest people in the country.  In the electronic waste dump site of the world, </w:t>
      </w:r>
      <w:proofErr w:type="spellStart"/>
      <w:r w:rsidRPr="00CA073E">
        <w:rPr>
          <w:rFonts w:eastAsiaTheme="minorEastAsia"/>
          <w:lang w:eastAsia="zh-CN"/>
        </w:rPr>
        <w:t>Guiyu</w:t>
      </w:r>
      <w:proofErr w:type="spellEnd"/>
      <w:r w:rsidRPr="00CA073E">
        <w:rPr>
          <w:rFonts w:eastAsiaTheme="minorEastAsia"/>
          <w:lang w:eastAsia="zh-CN"/>
        </w:rPr>
        <w:t>, China, poor and rural workers dissemble and recycle valuable parts or elements of e-waste, with the lowest health protection and labor standards.</w:t>
      </w:r>
      <w:r w:rsidRPr="00CA073E">
        <w:rPr>
          <w:rFonts w:eastAsiaTheme="minorEastAsia"/>
          <w:vertAlign w:val="superscript"/>
          <w:lang w:eastAsia="zh-CN"/>
        </w:rPr>
        <w:footnoteReference w:id="3"/>
      </w:r>
    </w:p>
    <w:p w:rsidR="00CA073E" w:rsidRPr="00F2280F" w:rsidRDefault="00CA073E" w:rsidP="0046218D">
      <w:pPr>
        <w:jc w:val="both"/>
        <w:rPr>
          <w:rFonts w:asciiTheme="minorHAnsi" w:hAnsiTheme="minorHAnsi" w:cs="Arial"/>
          <w:caps/>
          <w:sz w:val="22"/>
          <w:szCs w:val="22"/>
        </w:rPr>
      </w:pPr>
    </w:p>
    <w:p w:rsidR="004D6DB2" w:rsidRPr="004D7CF4" w:rsidRDefault="00484984" w:rsidP="0046218D">
      <w:pPr>
        <w:jc w:val="both"/>
        <w:rPr>
          <w:rFonts w:asciiTheme="minorHAnsi" w:hAnsiTheme="minorHAnsi" w:cs="Arial"/>
          <w:b/>
          <w:caps/>
          <w:sz w:val="22"/>
          <w:szCs w:val="22"/>
        </w:rPr>
      </w:pPr>
      <w:r>
        <w:rPr>
          <w:rFonts w:asciiTheme="minorHAnsi" w:hAnsiTheme="minorHAnsi" w:cs="Arial"/>
          <w:b/>
          <w:caps/>
          <w:sz w:val="22"/>
          <w:szCs w:val="22"/>
        </w:rPr>
        <w:t>Goal</w:t>
      </w:r>
      <w:r w:rsidR="001C36AF">
        <w:rPr>
          <w:rFonts w:asciiTheme="minorHAnsi" w:hAnsiTheme="minorHAnsi" w:cs="Arial"/>
          <w:b/>
          <w:caps/>
          <w:sz w:val="22"/>
          <w:szCs w:val="22"/>
        </w:rPr>
        <w:t xml:space="preserve"> </w:t>
      </w:r>
    </w:p>
    <w:p w:rsidR="00364CD2" w:rsidRPr="0046273C" w:rsidRDefault="00364CD2" w:rsidP="0046218D">
      <w:pPr>
        <w:jc w:val="both"/>
        <w:rPr>
          <w:rFonts w:cs="Arial"/>
          <w:sz w:val="20"/>
          <w:szCs w:val="20"/>
        </w:rPr>
      </w:pPr>
    </w:p>
    <w:p w:rsidR="006C606F" w:rsidRPr="006C606F" w:rsidRDefault="006C606F" w:rsidP="006C606F">
      <w:pPr>
        <w:kinsoku w:val="0"/>
        <w:overflowPunct w:val="0"/>
        <w:spacing w:before="154"/>
        <w:textAlignment w:val="baseline"/>
        <w:rPr>
          <w:rFonts w:eastAsiaTheme="minorEastAsia"/>
          <w:lang w:eastAsia="zh-CN"/>
        </w:rPr>
      </w:pPr>
      <w:r>
        <w:rPr>
          <w:rFonts w:eastAsiaTheme="minorEastAsia"/>
          <w:lang w:eastAsia="zh-CN"/>
        </w:rPr>
        <w:t>T</w:t>
      </w:r>
      <w:r w:rsidRPr="006C606F">
        <w:rPr>
          <w:rFonts w:eastAsiaTheme="minorEastAsia"/>
          <w:lang w:eastAsia="zh-CN"/>
        </w:rPr>
        <w:t xml:space="preserve">o prevent the exposure of humans and the environment </w:t>
      </w:r>
      <w:r>
        <w:rPr>
          <w:rFonts w:eastAsiaTheme="minorEastAsia"/>
          <w:lang w:eastAsia="zh-CN"/>
        </w:rPr>
        <w:t xml:space="preserve">to harmful chemicals and waste, </w:t>
      </w:r>
      <w:r w:rsidRPr="006C606F">
        <w:rPr>
          <w:rFonts w:eastAsiaTheme="minorEastAsia"/>
          <w:lang w:eastAsia="zh-CN"/>
        </w:rPr>
        <w:t>including POPs, mercury, other harmful chemicals and heavy metals, through community based approach to prevent, reduce or eliminate the production, use, consumption and emissions/releases of these harmful substances.</w:t>
      </w:r>
    </w:p>
    <w:p w:rsidR="004E1005" w:rsidRPr="006C606F" w:rsidRDefault="004E1005" w:rsidP="0046218D">
      <w:pPr>
        <w:jc w:val="both"/>
        <w:rPr>
          <w:rFonts w:eastAsiaTheme="minorEastAsia"/>
          <w:lang w:eastAsia="zh-CN"/>
        </w:rPr>
      </w:pPr>
    </w:p>
    <w:p w:rsidR="003005FA" w:rsidRPr="004D7CF4" w:rsidRDefault="001C36AF" w:rsidP="0046218D">
      <w:pPr>
        <w:jc w:val="both"/>
        <w:rPr>
          <w:rFonts w:asciiTheme="minorHAnsi" w:hAnsiTheme="minorHAnsi" w:cs="Arial"/>
          <w:b/>
          <w:caps/>
          <w:sz w:val="22"/>
          <w:szCs w:val="22"/>
        </w:rPr>
      </w:pPr>
      <w:r>
        <w:rPr>
          <w:rFonts w:asciiTheme="minorHAnsi" w:hAnsiTheme="minorHAnsi" w:cs="Arial"/>
          <w:b/>
          <w:caps/>
          <w:sz w:val="22"/>
          <w:szCs w:val="22"/>
        </w:rPr>
        <w:t>STRATEGIC</w:t>
      </w:r>
      <w:r w:rsidR="003005FA" w:rsidRPr="004D7CF4">
        <w:rPr>
          <w:rFonts w:asciiTheme="minorHAnsi" w:hAnsiTheme="minorHAnsi" w:cs="Arial"/>
          <w:b/>
          <w:caps/>
          <w:sz w:val="22"/>
          <w:szCs w:val="22"/>
        </w:rPr>
        <w:t xml:space="preserve"> Approach </w:t>
      </w:r>
    </w:p>
    <w:p w:rsidR="00DC4CC6" w:rsidRDefault="00DC4CC6" w:rsidP="0046218D">
      <w:pPr>
        <w:pStyle w:val="GEFPIFBodyTextNumberedPara"/>
        <w:numPr>
          <w:ilvl w:val="0"/>
          <w:numId w:val="0"/>
        </w:numPr>
        <w:spacing w:after="0"/>
        <w:jc w:val="both"/>
        <w:rPr>
          <w:rFonts w:asciiTheme="minorHAnsi" w:eastAsia="Times New Roman" w:hAnsiTheme="minorHAnsi" w:cs="Arial"/>
          <w:szCs w:val="22"/>
        </w:rPr>
      </w:pPr>
    </w:p>
    <w:p w:rsidR="00CA073E" w:rsidRPr="00CA073E" w:rsidRDefault="00CA073E" w:rsidP="00CA073E">
      <w:pPr>
        <w:autoSpaceDE w:val="0"/>
        <w:autoSpaceDN w:val="0"/>
        <w:adjustRightInd w:val="0"/>
        <w:rPr>
          <w:rFonts w:eastAsiaTheme="minorEastAsia"/>
          <w:lang w:eastAsia="zh-CN"/>
        </w:rPr>
      </w:pPr>
      <w:r w:rsidRPr="00CA073E">
        <w:rPr>
          <w:rFonts w:eastAsiaTheme="minorEastAsia"/>
          <w:lang w:eastAsia="zh-CN"/>
        </w:rPr>
        <w:t xml:space="preserve">SGP is a special window of GEF to provide financial support to civil society organizations (CSOs) and community-based organizations (CBOs) to </w:t>
      </w:r>
      <w:r w:rsidR="000130AC" w:rsidRPr="00CA073E">
        <w:rPr>
          <w:rFonts w:eastAsiaTheme="minorEastAsia"/>
          <w:lang w:eastAsia="zh-CN"/>
        </w:rPr>
        <w:t>identify</w:t>
      </w:r>
      <w:r w:rsidRPr="00CA073E">
        <w:rPr>
          <w:rFonts w:eastAsiaTheme="minorEastAsia"/>
          <w:lang w:eastAsia="zh-CN"/>
        </w:rPr>
        <w:t>, implement and upscale environmentally sound management practices at local, national and global levels.  SGP structural steps to achieve transformational changes include:</w:t>
      </w:r>
    </w:p>
    <w:p w:rsidR="00CA073E" w:rsidRPr="00CA073E" w:rsidRDefault="00CA073E" w:rsidP="00CA073E">
      <w:pPr>
        <w:autoSpaceDE w:val="0"/>
        <w:autoSpaceDN w:val="0"/>
        <w:adjustRightInd w:val="0"/>
        <w:rPr>
          <w:rFonts w:eastAsiaTheme="minorEastAsia"/>
          <w:lang w:eastAsia="zh-CN"/>
        </w:rPr>
      </w:pPr>
    </w:p>
    <w:p w:rsidR="00CA073E" w:rsidRPr="00CA073E" w:rsidRDefault="00CA073E" w:rsidP="00CA073E">
      <w:pPr>
        <w:numPr>
          <w:ilvl w:val="0"/>
          <w:numId w:val="26"/>
        </w:numPr>
        <w:autoSpaceDE w:val="0"/>
        <w:autoSpaceDN w:val="0"/>
        <w:adjustRightInd w:val="0"/>
        <w:spacing w:after="200" w:line="276" w:lineRule="auto"/>
        <w:contextualSpacing/>
        <w:rPr>
          <w:rFonts w:eastAsiaTheme="minorEastAsia"/>
          <w:lang w:eastAsia="zh-CN"/>
        </w:rPr>
      </w:pPr>
      <w:r w:rsidRPr="00CA073E">
        <w:rPr>
          <w:rFonts w:eastAsiaTheme="minorEastAsia"/>
          <w:b/>
          <w:i/>
          <w:lang w:eastAsia="zh-CN"/>
        </w:rPr>
        <w:t>Innovation and piloting/testing of small-scale practices at the community level</w:t>
      </w:r>
      <w:r w:rsidRPr="00CA073E">
        <w:rPr>
          <w:rFonts w:eastAsiaTheme="minorEastAsia"/>
          <w:lang w:eastAsia="zh-CN"/>
        </w:rPr>
        <w:t xml:space="preserve">.  SGP interventions start from small at the community level.  Communities with a problem approach SGP with proposed interventions, and often innovative ideas come from these communities themselves facing the fundamental threats to their health and livelihoods.  The advantages of such small-scale piloting and testing include: contextual design/implementation of project activities; flexibility; ownership and social support.  </w:t>
      </w:r>
      <w:r w:rsidRPr="00CA073E">
        <w:rPr>
          <w:rFonts w:eastAsiaTheme="minorEastAsia"/>
          <w:lang w:eastAsia="zh-CN"/>
        </w:rPr>
        <w:lastRenderedPageBreak/>
        <w:t>This approach ensures high ownership of projects by communities, which leads to high sustainability, higher than GEF’s larger projects.</w:t>
      </w:r>
      <w:r w:rsidRPr="00CA073E">
        <w:rPr>
          <w:rFonts w:eastAsiaTheme="minorEastAsia"/>
          <w:vertAlign w:val="superscript"/>
          <w:lang w:eastAsia="zh-CN"/>
        </w:rPr>
        <w:footnoteReference w:id="4"/>
      </w:r>
    </w:p>
    <w:p w:rsidR="00CA073E" w:rsidRPr="00CA073E" w:rsidRDefault="00CA073E" w:rsidP="00CA073E">
      <w:pPr>
        <w:numPr>
          <w:ilvl w:val="0"/>
          <w:numId w:val="26"/>
        </w:numPr>
        <w:autoSpaceDE w:val="0"/>
        <w:autoSpaceDN w:val="0"/>
        <w:adjustRightInd w:val="0"/>
        <w:spacing w:after="200" w:line="276" w:lineRule="auto"/>
        <w:contextualSpacing/>
        <w:rPr>
          <w:rFonts w:eastAsiaTheme="minorEastAsia"/>
          <w:b/>
          <w:i/>
          <w:lang w:eastAsia="zh-CN"/>
        </w:rPr>
      </w:pPr>
      <w:r w:rsidRPr="00CA073E">
        <w:rPr>
          <w:rFonts w:eastAsiaTheme="minorEastAsia"/>
          <w:b/>
          <w:i/>
          <w:lang w:eastAsia="zh-CN"/>
        </w:rPr>
        <w:t>SGP’s programmatic approach ensures in</w:t>
      </w:r>
      <w:r w:rsidRPr="00CA073E">
        <w:rPr>
          <w:rFonts w:eastAsiaTheme="minorEastAsia"/>
          <w:lang w:eastAsia="zh-CN"/>
        </w:rPr>
        <w:t>-</w:t>
      </w:r>
      <w:r w:rsidRPr="00CA073E">
        <w:rPr>
          <w:rFonts w:eastAsiaTheme="minorEastAsia"/>
          <w:b/>
          <w:i/>
          <w:lang w:eastAsia="zh-CN"/>
        </w:rPr>
        <w:t>system replication and upscaling of good practices.</w:t>
      </w:r>
      <w:r w:rsidRPr="00CA073E">
        <w:rPr>
          <w:rFonts w:eastAsiaTheme="minorEastAsia"/>
          <w:lang w:eastAsia="zh-CN"/>
        </w:rPr>
        <w:t xml:space="preserve">  As the longest </w:t>
      </w:r>
      <w:proofErr w:type="spellStart"/>
      <w:r w:rsidRPr="00CA073E">
        <w:rPr>
          <w:rFonts w:eastAsiaTheme="minorEastAsia"/>
          <w:lang w:eastAsia="zh-CN"/>
        </w:rPr>
        <w:t>programme</w:t>
      </w:r>
      <w:proofErr w:type="spellEnd"/>
      <w:r w:rsidRPr="00CA073E">
        <w:rPr>
          <w:rFonts w:eastAsiaTheme="minorEastAsia"/>
          <w:lang w:eastAsia="zh-CN"/>
        </w:rPr>
        <w:t xml:space="preserve"> of SGP, it has been the true practitioner of a coherent programmatic approach to global environmental problems.  Over the years, country </w:t>
      </w:r>
      <w:proofErr w:type="spellStart"/>
      <w:r w:rsidRPr="00CA073E">
        <w:rPr>
          <w:rFonts w:eastAsiaTheme="minorEastAsia"/>
          <w:lang w:eastAsia="zh-CN"/>
        </w:rPr>
        <w:t>programmes</w:t>
      </w:r>
      <w:proofErr w:type="spellEnd"/>
      <w:r w:rsidRPr="00CA073E">
        <w:rPr>
          <w:rFonts w:eastAsiaTheme="minorEastAsia"/>
          <w:lang w:eastAsia="zh-CN"/>
        </w:rPr>
        <w:t xml:space="preserve"> accumulate experiences and develop contextual approach to upscaling, e.g. honey production in Mexico and eco-tourism in Coast Rica.</w:t>
      </w:r>
    </w:p>
    <w:p w:rsidR="00CA073E" w:rsidRPr="00CA073E" w:rsidRDefault="00CA073E" w:rsidP="00CA073E">
      <w:pPr>
        <w:numPr>
          <w:ilvl w:val="0"/>
          <w:numId w:val="26"/>
        </w:numPr>
        <w:autoSpaceDE w:val="0"/>
        <w:autoSpaceDN w:val="0"/>
        <w:adjustRightInd w:val="0"/>
        <w:spacing w:after="200" w:line="20" w:lineRule="atLeast"/>
        <w:contextualSpacing/>
        <w:jc w:val="both"/>
        <w:rPr>
          <w:rFonts w:eastAsiaTheme="minorEastAsia"/>
          <w:lang w:eastAsia="zh-CN"/>
        </w:rPr>
      </w:pPr>
      <w:r w:rsidRPr="00CA073E">
        <w:rPr>
          <w:rFonts w:eastAsiaTheme="minorEastAsia"/>
          <w:b/>
          <w:i/>
          <w:lang w:eastAsia="zh-CN"/>
        </w:rPr>
        <w:t>Strategic global connectivity</w:t>
      </w:r>
      <w:r w:rsidRPr="00CA073E">
        <w:rPr>
          <w:rFonts w:eastAsiaTheme="minorEastAsia"/>
          <w:lang w:eastAsia="zh-CN"/>
        </w:rPr>
        <w:t>. SGP opens a unique window for communities and civil society organizations to provide direct inputs and experiences to international policy development and programming processes. In this sense, SGP’s communities are not merely individual stand-</w:t>
      </w:r>
      <w:proofErr w:type="spellStart"/>
      <w:r w:rsidRPr="00CA073E">
        <w:rPr>
          <w:rFonts w:eastAsiaTheme="minorEastAsia"/>
          <w:lang w:eastAsia="zh-CN"/>
        </w:rPr>
        <w:t>alones</w:t>
      </w:r>
      <w:proofErr w:type="spellEnd"/>
      <w:r w:rsidRPr="00CA073E">
        <w:rPr>
          <w:rFonts w:eastAsiaTheme="minorEastAsia"/>
          <w:lang w:eastAsia="zh-CN"/>
        </w:rPr>
        <w:t>, but in fact active “global” communities.  SGP’s global network provide an effective mechanism to bring local practices to global replication/upscaling.  For example, the 2007 CNN Hero project (Cuba waste project) has gained such a global recognition among SGP country programs that the practices have been widely replicated, resulting in solid waste management of more than 300,000 tons during GEF-4.  SGP’s practices have been widely recognized globally by numerous international awards.</w:t>
      </w:r>
    </w:p>
    <w:p w:rsidR="00CA073E" w:rsidRPr="0046273C" w:rsidRDefault="00CA073E" w:rsidP="0046218D">
      <w:pPr>
        <w:pStyle w:val="GEFPIFBodyTextNumberedPara"/>
        <w:numPr>
          <w:ilvl w:val="0"/>
          <w:numId w:val="0"/>
        </w:numPr>
        <w:spacing w:after="0"/>
        <w:jc w:val="both"/>
        <w:rPr>
          <w:rFonts w:ascii="Arial" w:eastAsia="PMingLiU" w:hAnsi="Arial" w:cs="Arial"/>
          <w:b/>
          <w:bCs/>
          <w:i/>
          <w:szCs w:val="22"/>
        </w:rPr>
      </w:pPr>
    </w:p>
    <w:p w:rsidR="00EF3637" w:rsidRPr="004D7CF4" w:rsidRDefault="004C314A" w:rsidP="0046218D">
      <w:pPr>
        <w:jc w:val="both"/>
        <w:rPr>
          <w:rFonts w:asciiTheme="minorHAnsi" w:hAnsiTheme="minorHAnsi" w:cs="Arial"/>
          <w:b/>
          <w:sz w:val="22"/>
          <w:szCs w:val="22"/>
        </w:rPr>
      </w:pPr>
      <w:r>
        <w:rPr>
          <w:rFonts w:asciiTheme="minorHAnsi" w:hAnsiTheme="minorHAnsi" w:cs="Arial"/>
          <w:b/>
          <w:caps/>
          <w:sz w:val="22"/>
          <w:szCs w:val="22"/>
        </w:rPr>
        <w:t xml:space="preserve">THEMATIC AREAS AND </w:t>
      </w:r>
      <w:r w:rsidR="001C36AF" w:rsidRPr="001C36AF">
        <w:rPr>
          <w:rFonts w:asciiTheme="minorHAnsi" w:hAnsiTheme="minorHAnsi" w:cs="Arial"/>
          <w:b/>
          <w:caps/>
          <w:sz w:val="22"/>
          <w:szCs w:val="22"/>
        </w:rPr>
        <w:t>INDICATIVE ACTIVITIES</w:t>
      </w:r>
      <w:r w:rsidR="001C36AF" w:rsidRPr="004D7CF4">
        <w:rPr>
          <w:rFonts w:asciiTheme="minorHAnsi" w:hAnsiTheme="minorHAnsi" w:cs="Arial"/>
          <w:b/>
          <w:sz w:val="22"/>
          <w:szCs w:val="22"/>
        </w:rPr>
        <w:t xml:space="preserve"> </w:t>
      </w:r>
    </w:p>
    <w:p w:rsidR="00EF3637" w:rsidRPr="004D7CF4" w:rsidRDefault="00EF3637" w:rsidP="0046218D">
      <w:pPr>
        <w:jc w:val="both"/>
        <w:rPr>
          <w:rFonts w:asciiTheme="minorHAnsi" w:hAnsiTheme="minorHAnsi" w:cs="Arial"/>
          <w:sz w:val="22"/>
          <w:szCs w:val="22"/>
        </w:rPr>
      </w:pPr>
    </w:p>
    <w:p w:rsidR="00BC46E1" w:rsidRPr="005639DE" w:rsidRDefault="004C314A" w:rsidP="005639DE">
      <w:pPr>
        <w:autoSpaceDE w:val="0"/>
        <w:autoSpaceDN w:val="0"/>
        <w:adjustRightInd w:val="0"/>
        <w:rPr>
          <w:rFonts w:eastAsiaTheme="minorEastAsia"/>
          <w:color w:val="000000"/>
          <w:lang w:eastAsia="zh-CN"/>
        </w:rPr>
      </w:pPr>
      <w:r w:rsidRPr="004C314A">
        <w:rPr>
          <w:rFonts w:eastAsiaTheme="minorEastAsia"/>
          <w:color w:val="000000"/>
          <w:lang w:eastAsia="zh-CN"/>
        </w:rPr>
        <w:t>The GEF SGP chemicals portfol</w:t>
      </w:r>
      <w:r w:rsidR="000130AC">
        <w:rPr>
          <w:rFonts w:eastAsiaTheme="minorEastAsia"/>
          <w:color w:val="000000"/>
          <w:lang w:eastAsia="zh-CN"/>
        </w:rPr>
        <w:t>io focused its ac</w:t>
      </w:r>
      <w:r w:rsidR="005639DE">
        <w:rPr>
          <w:rFonts w:eastAsiaTheme="minorEastAsia"/>
          <w:color w:val="000000"/>
          <w:lang w:eastAsia="zh-CN"/>
        </w:rPr>
        <w:t xml:space="preserve">tivities on </w:t>
      </w:r>
      <w:r w:rsidRPr="005639DE">
        <w:rPr>
          <w:rFonts w:eastAsiaTheme="minorEastAsia"/>
          <w:color w:val="000000"/>
          <w:lang w:eastAsia="zh-CN"/>
        </w:rPr>
        <w:t>pesticide management in agriculture and</w:t>
      </w:r>
      <w:r w:rsidR="005639DE" w:rsidRPr="005639DE">
        <w:rPr>
          <w:rFonts w:eastAsiaTheme="minorEastAsia"/>
          <w:color w:val="000000"/>
          <w:lang w:eastAsia="zh-CN"/>
        </w:rPr>
        <w:t xml:space="preserve"> organic farmin</w:t>
      </w:r>
      <w:r w:rsidR="005639DE">
        <w:rPr>
          <w:rFonts w:eastAsiaTheme="minorEastAsia"/>
          <w:color w:val="000000"/>
          <w:lang w:eastAsia="zh-CN"/>
        </w:rPr>
        <w:t xml:space="preserve">g; </w:t>
      </w:r>
      <w:r w:rsidRPr="005639DE">
        <w:rPr>
          <w:rFonts w:eastAsiaTheme="minorEastAsia"/>
          <w:color w:val="000000"/>
          <w:lang w:eastAsia="zh-CN"/>
        </w:rPr>
        <w:t>reduction of chemic</w:t>
      </w:r>
      <w:r w:rsidR="005639DE">
        <w:rPr>
          <w:rFonts w:eastAsiaTheme="minorEastAsia"/>
          <w:color w:val="000000"/>
          <w:lang w:eastAsia="zh-CN"/>
        </w:rPr>
        <w:t xml:space="preserve">als usage and contamination; </w:t>
      </w:r>
      <w:r w:rsidRPr="005639DE">
        <w:rPr>
          <w:rFonts w:eastAsiaTheme="minorEastAsia"/>
          <w:color w:val="000000"/>
          <w:lang w:eastAsia="zh-CN"/>
        </w:rPr>
        <w:t xml:space="preserve">avoidance of </w:t>
      </w:r>
      <w:r w:rsidR="005639DE" w:rsidRPr="005639DE">
        <w:rPr>
          <w:rFonts w:eastAsiaTheme="minorEastAsia"/>
          <w:color w:val="000000"/>
          <w:lang w:eastAsia="zh-CN"/>
        </w:rPr>
        <w:t xml:space="preserve">open burning of solid waste; </w:t>
      </w:r>
      <w:r w:rsidRPr="005639DE">
        <w:rPr>
          <w:rFonts w:eastAsiaTheme="minorEastAsia"/>
          <w:color w:val="000000"/>
          <w:lang w:eastAsia="zh-CN"/>
        </w:rPr>
        <w:t xml:space="preserve">capacity development, awareness raising and knowledge sharing. In GEF-5, the focal area expanded to cover other chemicals beyond the Stockholm Convention and heavy metals.  The trend of global chemicals management is to consolidate and coordinate all existing chemicals, waste and heavy metals efforts.  Hence the coverage of chemicals and waste can be further expanded.  To address the current implementation gaps of chemicals and waste management, SGP will undertake activities in </w:t>
      </w:r>
      <w:r w:rsidR="00BC46E1" w:rsidRPr="005639DE">
        <w:rPr>
          <w:rFonts w:eastAsiaTheme="minorEastAsia"/>
          <w:color w:val="000000"/>
          <w:lang w:eastAsia="zh-CN"/>
        </w:rPr>
        <w:t>four thematic areas</w:t>
      </w:r>
      <w:r w:rsidRPr="005639DE">
        <w:rPr>
          <w:rFonts w:eastAsiaTheme="minorEastAsia"/>
          <w:color w:val="000000"/>
          <w:lang w:eastAsia="zh-CN"/>
        </w:rPr>
        <w:t>.</w:t>
      </w:r>
    </w:p>
    <w:p w:rsidR="00BC46E1" w:rsidRPr="00BC46E1" w:rsidRDefault="00BC46E1" w:rsidP="00BC46E1">
      <w:pPr>
        <w:spacing w:before="288"/>
        <w:textAlignment w:val="baseline"/>
        <w:rPr>
          <w:rFonts w:eastAsiaTheme="minorEastAsia"/>
          <w:b/>
          <w:color w:val="000000"/>
          <w:lang w:eastAsia="zh-CN"/>
        </w:rPr>
      </w:pPr>
      <w:r w:rsidRPr="00BC46E1">
        <w:rPr>
          <w:rFonts w:eastAsiaTheme="minorEastAsia"/>
          <w:b/>
          <w:color w:val="000000"/>
          <w:lang w:eastAsia="zh-CN"/>
        </w:rPr>
        <w:t xml:space="preserve">Thematic Area 1: Pesticide Management </w:t>
      </w:r>
    </w:p>
    <w:p w:rsidR="00BC46E1" w:rsidRDefault="00BC46E1" w:rsidP="00BC46E1">
      <w:pPr>
        <w:autoSpaceDE w:val="0"/>
        <w:autoSpaceDN w:val="0"/>
        <w:adjustRightInd w:val="0"/>
        <w:rPr>
          <w:rFonts w:eastAsiaTheme="minorEastAsia"/>
          <w:color w:val="000000"/>
          <w:lang w:eastAsia="zh-CN"/>
        </w:rPr>
      </w:pPr>
    </w:p>
    <w:p w:rsidR="006E7893" w:rsidRPr="00CA073E" w:rsidRDefault="006E7893" w:rsidP="006E7893">
      <w:pPr>
        <w:autoSpaceDE w:val="0"/>
        <w:autoSpaceDN w:val="0"/>
        <w:adjustRightInd w:val="0"/>
        <w:rPr>
          <w:rFonts w:eastAsiaTheme="minorEastAsia"/>
          <w:lang w:eastAsia="zh-CN"/>
        </w:rPr>
      </w:pPr>
      <w:r w:rsidRPr="00CA073E">
        <w:rPr>
          <w:rFonts w:eastAsiaTheme="minorEastAsia"/>
          <w:lang w:eastAsia="zh-CN"/>
        </w:rPr>
        <w:t xml:space="preserve">According to the World Health </w:t>
      </w:r>
      <w:proofErr w:type="spellStart"/>
      <w:r w:rsidRPr="00CA073E">
        <w:rPr>
          <w:rFonts w:eastAsiaTheme="minorEastAsia"/>
          <w:lang w:eastAsia="zh-CN"/>
        </w:rPr>
        <w:t>Organisation</w:t>
      </w:r>
      <w:proofErr w:type="spellEnd"/>
      <w:r w:rsidRPr="00CA073E">
        <w:rPr>
          <w:rFonts w:eastAsiaTheme="minorEastAsia"/>
          <w:lang w:eastAsia="zh-CN"/>
        </w:rPr>
        <w:t xml:space="preserve"> (WHO) acute pesticide poisoning affects three million people and account for 20,000 unintentional deaths each year. However, estimates range from one million to 41 million people affected every year, and the data could be under-estimated due to lack of data.  In many communities and nations, those living in poverty, women and children continue to be disproportionately exposed to pesticides, making this an issue of fairness and environmental justice.</w:t>
      </w:r>
      <w:r w:rsidRPr="00CA073E">
        <w:rPr>
          <w:rFonts w:eastAsiaTheme="minorEastAsia"/>
          <w:vertAlign w:val="superscript"/>
          <w:lang w:eastAsia="zh-CN"/>
        </w:rPr>
        <w:footnoteReference w:id="5"/>
      </w:r>
      <w:r w:rsidRPr="00CA073E">
        <w:rPr>
          <w:rFonts w:eastAsiaTheme="minorEastAsia"/>
          <w:lang w:eastAsia="zh-CN"/>
        </w:rPr>
        <w:t xml:space="preserve">  Between 2005 and 2020, the accumulated cost of illness and injury linked to pesticides in small scale farming in sub-Saharan Africa could reach USD $90 billion.</w:t>
      </w:r>
      <w:r w:rsidRPr="00CA073E">
        <w:rPr>
          <w:rFonts w:asciiTheme="minorHAnsi" w:eastAsiaTheme="minorEastAsia" w:hAnsiTheme="minorHAnsi" w:cstheme="minorBidi"/>
          <w:color w:val="000000"/>
          <w:sz w:val="22"/>
          <w:szCs w:val="22"/>
          <w:vertAlign w:val="superscript"/>
          <w:lang w:eastAsia="zh-CN"/>
        </w:rPr>
        <w:footnoteReference w:id="6"/>
      </w:r>
      <w:r w:rsidRPr="00CA073E">
        <w:rPr>
          <w:rFonts w:asciiTheme="minorHAnsi" w:eastAsiaTheme="minorEastAsia" w:hAnsiTheme="minorHAnsi" w:cstheme="minorBidi"/>
          <w:color w:val="000000"/>
          <w:sz w:val="22"/>
          <w:szCs w:val="22"/>
          <w:vertAlign w:val="superscript"/>
          <w:lang w:eastAsia="zh-CN"/>
        </w:rPr>
        <w:t xml:space="preserve">  </w:t>
      </w:r>
    </w:p>
    <w:p w:rsidR="006E7893" w:rsidRPr="00CA073E" w:rsidRDefault="006E7893" w:rsidP="006E7893">
      <w:pPr>
        <w:autoSpaceDE w:val="0"/>
        <w:autoSpaceDN w:val="0"/>
        <w:adjustRightInd w:val="0"/>
        <w:rPr>
          <w:rFonts w:asciiTheme="minorHAnsi" w:eastAsiaTheme="minorEastAsia" w:hAnsiTheme="minorHAnsi" w:cstheme="minorBidi"/>
          <w:color w:val="000000"/>
          <w:sz w:val="22"/>
          <w:szCs w:val="22"/>
          <w:lang w:eastAsia="zh-CN"/>
        </w:rPr>
      </w:pPr>
    </w:p>
    <w:p w:rsidR="006E7893" w:rsidRDefault="006E7893" w:rsidP="00BC46E1">
      <w:pPr>
        <w:autoSpaceDE w:val="0"/>
        <w:autoSpaceDN w:val="0"/>
        <w:adjustRightInd w:val="0"/>
        <w:rPr>
          <w:rFonts w:eastAsiaTheme="minorEastAsia"/>
          <w:color w:val="000000"/>
          <w:lang w:eastAsia="zh-CN"/>
        </w:rPr>
      </w:pPr>
    </w:p>
    <w:p w:rsidR="006E7893" w:rsidRDefault="006E7893" w:rsidP="00BC46E1">
      <w:pPr>
        <w:autoSpaceDE w:val="0"/>
        <w:autoSpaceDN w:val="0"/>
        <w:adjustRightInd w:val="0"/>
        <w:rPr>
          <w:rFonts w:eastAsiaTheme="minorEastAsia"/>
          <w:color w:val="000000"/>
          <w:lang w:eastAsia="zh-CN"/>
        </w:rPr>
      </w:pPr>
    </w:p>
    <w:p w:rsidR="005639DE" w:rsidRDefault="00484984" w:rsidP="00484984">
      <w:pPr>
        <w:contextualSpacing/>
        <w:textAlignment w:val="baseline"/>
        <w:rPr>
          <w:rFonts w:eastAsiaTheme="minorEastAsia"/>
          <w:color w:val="000000"/>
          <w:lang w:eastAsia="zh-CN"/>
        </w:rPr>
      </w:pPr>
      <w:r>
        <w:rPr>
          <w:rFonts w:eastAsiaTheme="minorEastAsia"/>
          <w:color w:val="000000"/>
          <w:lang w:eastAsia="zh-CN"/>
        </w:rPr>
        <w:lastRenderedPageBreak/>
        <w:t>Under this thematic area, SGP may focus its work on p</w:t>
      </w:r>
      <w:r w:rsidR="00BC46E1" w:rsidRPr="00BC46E1">
        <w:rPr>
          <w:rFonts w:eastAsiaTheme="minorEastAsia"/>
          <w:color w:val="000000"/>
          <w:lang w:eastAsia="zh-CN"/>
        </w:rPr>
        <w:t>acking, storage and environmental disposal of obsolete pesticide</w:t>
      </w:r>
      <w:r>
        <w:rPr>
          <w:rFonts w:eastAsiaTheme="minorEastAsia"/>
          <w:color w:val="000000"/>
          <w:lang w:eastAsia="zh-CN"/>
        </w:rPr>
        <w:t>, promotion of o</w:t>
      </w:r>
      <w:r w:rsidR="00BC46E1" w:rsidRPr="00BC46E1">
        <w:rPr>
          <w:rFonts w:eastAsiaTheme="minorEastAsia"/>
          <w:color w:val="000000"/>
          <w:lang w:eastAsia="zh-CN"/>
        </w:rPr>
        <w:t>rganic farming and certification</w:t>
      </w:r>
      <w:r>
        <w:rPr>
          <w:rFonts w:eastAsiaTheme="minorEastAsia"/>
          <w:color w:val="000000"/>
          <w:lang w:eastAsia="zh-CN"/>
        </w:rPr>
        <w:t>, and the development of t</w:t>
      </w:r>
      <w:r w:rsidR="00BC46E1" w:rsidRPr="00BC46E1">
        <w:rPr>
          <w:rFonts w:eastAsiaTheme="minorEastAsia"/>
          <w:color w:val="000000"/>
          <w:lang w:eastAsia="zh-CN"/>
        </w:rPr>
        <w:t>echnologies &amp; alternatives to pesticides (e.g. traditional knowledge)</w:t>
      </w:r>
      <w:r>
        <w:rPr>
          <w:rFonts w:eastAsiaTheme="minorEastAsia"/>
          <w:color w:val="000000"/>
          <w:lang w:eastAsia="zh-CN"/>
        </w:rPr>
        <w:t xml:space="preserve">. Proposed activities may include: </w:t>
      </w:r>
    </w:p>
    <w:p w:rsidR="00484984" w:rsidRPr="00BC46E1" w:rsidRDefault="00484984" w:rsidP="00484984">
      <w:pPr>
        <w:contextualSpacing/>
        <w:textAlignment w:val="baseline"/>
        <w:rPr>
          <w:rFonts w:eastAsiaTheme="minorEastAsia"/>
          <w:color w:val="000000"/>
          <w:lang w:eastAsia="zh-CN"/>
        </w:rPr>
      </w:pPr>
    </w:p>
    <w:p w:rsidR="00BC46E1" w:rsidRPr="00BC46E1" w:rsidRDefault="00BC46E1" w:rsidP="00BC46E1">
      <w:pPr>
        <w:numPr>
          <w:ilvl w:val="0"/>
          <w:numId w:val="28"/>
        </w:numPr>
        <w:contextualSpacing/>
        <w:textAlignment w:val="baseline"/>
        <w:rPr>
          <w:rFonts w:eastAsiaTheme="minorEastAsia"/>
          <w:color w:val="000000"/>
          <w:lang w:eastAsia="zh-CN"/>
        </w:rPr>
      </w:pPr>
      <w:r w:rsidRPr="00BC46E1">
        <w:rPr>
          <w:rFonts w:eastAsiaTheme="minorEastAsia"/>
          <w:color w:val="000000"/>
          <w:lang w:eastAsia="zh-CN"/>
        </w:rPr>
        <w:t>Introduction of alternatives to DDT for vector control including approaches to improve their safe and rational use for public health</w:t>
      </w:r>
    </w:p>
    <w:p w:rsidR="00BC46E1" w:rsidRPr="00BC46E1" w:rsidRDefault="00BC46E1" w:rsidP="00BC46E1">
      <w:pPr>
        <w:numPr>
          <w:ilvl w:val="0"/>
          <w:numId w:val="28"/>
        </w:numPr>
        <w:contextualSpacing/>
        <w:textAlignment w:val="baseline"/>
        <w:rPr>
          <w:rFonts w:eastAsiaTheme="minorEastAsia"/>
          <w:color w:val="000000"/>
          <w:lang w:eastAsia="zh-CN"/>
        </w:rPr>
      </w:pPr>
      <w:r w:rsidRPr="00BC46E1">
        <w:rPr>
          <w:rFonts w:eastAsiaTheme="minorEastAsia"/>
          <w:color w:val="000000"/>
          <w:lang w:eastAsia="zh-CN"/>
        </w:rPr>
        <w:t>Introduction of non-chemical alternatives</w:t>
      </w:r>
    </w:p>
    <w:p w:rsidR="00BC46E1" w:rsidRPr="00BC46E1" w:rsidRDefault="00BC46E1" w:rsidP="00BC46E1">
      <w:pPr>
        <w:numPr>
          <w:ilvl w:val="0"/>
          <w:numId w:val="28"/>
        </w:numPr>
        <w:contextualSpacing/>
        <w:textAlignment w:val="baseline"/>
        <w:rPr>
          <w:rFonts w:eastAsiaTheme="minorEastAsia"/>
          <w:color w:val="000000"/>
          <w:lang w:eastAsia="zh-CN"/>
        </w:rPr>
      </w:pPr>
      <w:r w:rsidRPr="00BC46E1">
        <w:rPr>
          <w:rFonts w:eastAsiaTheme="minorEastAsia"/>
          <w:color w:val="000000"/>
          <w:lang w:eastAsia="zh-CN"/>
        </w:rPr>
        <w:t>Integrated pesticide management including in the context of food security</w:t>
      </w:r>
    </w:p>
    <w:p w:rsidR="00BC46E1" w:rsidRPr="00BC46E1" w:rsidRDefault="00BC46E1" w:rsidP="00BC46E1">
      <w:pPr>
        <w:numPr>
          <w:ilvl w:val="0"/>
          <w:numId w:val="28"/>
        </w:numPr>
        <w:contextualSpacing/>
        <w:textAlignment w:val="baseline"/>
        <w:rPr>
          <w:rFonts w:eastAsiaTheme="minorEastAsia"/>
          <w:color w:val="000000"/>
          <w:lang w:eastAsia="zh-CN"/>
        </w:rPr>
      </w:pPr>
      <w:r w:rsidRPr="00BC46E1">
        <w:rPr>
          <w:rFonts w:eastAsiaTheme="minorEastAsia"/>
          <w:color w:val="000000"/>
          <w:lang w:eastAsia="zh-CN"/>
        </w:rPr>
        <w:t>Design of products and processes that minimize the use and generation of hazardous substances and waste</w:t>
      </w:r>
    </w:p>
    <w:p w:rsidR="00BC46E1" w:rsidRPr="00BC46E1" w:rsidRDefault="00BC46E1" w:rsidP="00BC46E1">
      <w:pPr>
        <w:ind w:left="720"/>
        <w:contextualSpacing/>
        <w:textAlignment w:val="baseline"/>
        <w:rPr>
          <w:rFonts w:eastAsiaTheme="minorEastAsia"/>
          <w:color w:val="000000"/>
          <w:lang w:eastAsia="zh-CN"/>
        </w:rPr>
      </w:pPr>
    </w:p>
    <w:p w:rsidR="004C314A" w:rsidRPr="00BC46E1" w:rsidRDefault="00BC46E1" w:rsidP="004C314A">
      <w:pPr>
        <w:autoSpaceDE w:val="0"/>
        <w:autoSpaceDN w:val="0"/>
        <w:adjustRightInd w:val="0"/>
        <w:rPr>
          <w:rFonts w:eastAsiaTheme="minorEastAsia"/>
          <w:b/>
          <w:lang w:eastAsia="zh-CN"/>
        </w:rPr>
      </w:pPr>
      <w:r w:rsidRPr="00BC46E1">
        <w:rPr>
          <w:rFonts w:eastAsiaTheme="minorEastAsia"/>
          <w:b/>
          <w:lang w:eastAsia="zh-CN"/>
        </w:rPr>
        <w:t xml:space="preserve">Thematic Area 2: </w:t>
      </w:r>
      <w:r w:rsidRPr="00BC46E1">
        <w:rPr>
          <w:rFonts w:eastAsia="SimSun"/>
          <w:b/>
          <w:bCs/>
          <w:color w:val="000000" w:themeColor="text1"/>
        </w:rPr>
        <w:t>Waste Management</w:t>
      </w:r>
    </w:p>
    <w:p w:rsidR="006E7893" w:rsidRDefault="006E7893" w:rsidP="006E7893">
      <w:pPr>
        <w:autoSpaceDE w:val="0"/>
        <w:autoSpaceDN w:val="0"/>
        <w:adjustRightInd w:val="0"/>
        <w:rPr>
          <w:rFonts w:eastAsiaTheme="minorEastAsia"/>
          <w:color w:val="000000"/>
          <w:lang w:eastAsia="zh-CN"/>
        </w:rPr>
      </w:pPr>
    </w:p>
    <w:p w:rsidR="008420E3" w:rsidRDefault="006E7893" w:rsidP="00790335">
      <w:pPr>
        <w:autoSpaceDE w:val="0"/>
        <w:autoSpaceDN w:val="0"/>
        <w:adjustRightInd w:val="0"/>
        <w:rPr>
          <w:rFonts w:eastAsiaTheme="minorEastAsia"/>
          <w:lang w:eastAsia="zh-CN"/>
        </w:rPr>
      </w:pPr>
      <w:r w:rsidRPr="006E7893">
        <w:rPr>
          <w:rFonts w:eastAsiaTheme="minorEastAsia"/>
          <w:color w:val="000000"/>
          <w:lang w:eastAsia="zh-CN"/>
        </w:rPr>
        <w:t xml:space="preserve">Rapid changes in technology, changes in media (tapes, software, MP3), falling prices, and </w:t>
      </w:r>
      <w:hyperlink r:id="rId8" w:tooltip="Planned obsolescence" w:history="1">
        <w:r w:rsidRPr="006E7893">
          <w:rPr>
            <w:rFonts w:eastAsiaTheme="minorEastAsia"/>
            <w:color w:val="000000"/>
            <w:lang w:eastAsia="zh-CN"/>
          </w:rPr>
          <w:t>planned obsolescence</w:t>
        </w:r>
      </w:hyperlink>
      <w:r w:rsidRPr="006E7893">
        <w:rPr>
          <w:rFonts w:eastAsiaTheme="minorEastAsia"/>
          <w:color w:val="000000"/>
          <w:lang w:eastAsia="zh-CN"/>
        </w:rPr>
        <w:t xml:space="preserve"> have resulted in a fast-growing surplus of electronic waste (e-waste) around the globe. E-waste is the fastest growing waste stream.  In the United States, an estimated 70% of heavy metals in landfills come from discarded electronics.  Such trend is spreading to the rest of the world.  According</w:t>
      </w:r>
      <w:r w:rsidRPr="006E7893">
        <w:rPr>
          <w:rFonts w:eastAsiaTheme="minorEastAsia"/>
          <w:lang w:eastAsia="zh-CN"/>
        </w:rPr>
        <w:t xml:space="preserve"> to a report by UNEP titled, "Recycling - from E-Waste to Resources," the amount of e-waste being produced - including mobile phones and computers - could rise by as much as 500 percent over the next decade in some countries, such as India. The United States is the world leader in producing electronic waste, tossing away about 3 million tons each year. China already produces about 2.3 million tons (2010 estimate) domestically, second only to the United States. And, despite having banned e-waste imports, China remains a major e-waste dumping ground for developed countries.  </w:t>
      </w:r>
      <w:r w:rsidR="00E34304">
        <w:rPr>
          <w:rFonts w:eastAsiaTheme="minorEastAsia"/>
          <w:lang w:eastAsia="zh-CN"/>
        </w:rPr>
        <w:t>As “sustainable cities”</w:t>
      </w:r>
      <w:r w:rsidR="008420E3">
        <w:rPr>
          <w:rFonts w:eastAsiaTheme="minorEastAsia"/>
          <w:lang w:eastAsia="zh-CN"/>
        </w:rPr>
        <w:t xml:space="preserve"> has emerged as an important issue, waste management will be of particular importance to sustainable development, as the cities are the powerful generators of garbage and wastes.  With high density of population, sustainable chemicals and waste management will be critical to the environment and health of urban environment.  </w:t>
      </w:r>
    </w:p>
    <w:p w:rsidR="008420E3" w:rsidRDefault="008420E3" w:rsidP="00790335">
      <w:pPr>
        <w:autoSpaceDE w:val="0"/>
        <w:autoSpaceDN w:val="0"/>
        <w:adjustRightInd w:val="0"/>
        <w:rPr>
          <w:rFonts w:eastAsiaTheme="minorEastAsia"/>
          <w:lang w:eastAsia="zh-CN"/>
        </w:rPr>
      </w:pPr>
    </w:p>
    <w:p w:rsidR="00BC46E1" w:rsidRDefault="006E7893" w:rsidP="00790335">
      <w:pPr>
        <w:autoSpaceDE w:val="0"/>
        <w:autoSpaceDN w:val="0"/>
        <w:adjustRightInd w:val="0"/>
        <w:rPr>
          <w:rFonts w:eastAsia="SimSun"/>
          <w:color w:val="000000" w:themeColor="text1"/>
        </w:rPr>
      </w:pPr>
      <w:r>
        <w:rPr>
          <w:rFonts w:eastAsiaTheme="minorEastAsia"/>
          <w:lang w:eastAsia="zh-CN"/>
        </w:rPr>
        <w:t>Community-based waste management may focus on domestic solid waste, medical waste, e-waste and plastics.</w:t>
      </w:r>
      <w:r w:rsidR="00790335">
        <w:rPr>
          <w:rFonts w:eastAsiaTheme="minorEastAsia"/>
          <w:lang w:eastAsia="zh-CN"/>
        </w:rPr>
        <w:t xml:space="preserve"> </w:t>
      </w:r>
      <w:r w:rsidR="00BC46E1" w:rsidRPr="00BC46E1">
        <w:rPr>
          <w:rFonts w:eastAsia="SimSun"/>
          <w:color w:val="000000" w:themeColor="text1"/>
        </w:rPr>
        <w:t xml:space="preserve">Proposed </w:t>
      </w:r>
      <w:r w:rsidR="00790335">
        <w:rPr>
          <w:rFonts w:eastAsia="SimSun"/>
          <w:color w:val="000000" w:themeColor="text1"/>
        </w:rPr>
        <w:t>activities may include:</w:t>
      </w:r>
    </w:p>
    <w:p w:rsidR="00790335" w:rsidRPr="00790335" w:rsidRDefault="00790335" w:rsidP="00790335">
      <w:pPr>
        <w:autoSpaceDE w:val="0"/>
        <w:autoSpaceDN w:val="0"/>
        <w:adjustRightInd w:val="0"/>
        <w:rPr>
          <w:rFonts w:eastAsiaTheme="minorEastAsia"/>
          <w:lang w:eastAsia="zh-CN"/>
        </w:rPr>
      </w:pPr>
    </w:p>
    <w:p w:rsidR="00BC46E1" w:rsidRPr="00BC46E1" w:rsidRDefault="00BC46E1" w:rsidP="00BC46E1">
      <w:pPr>
        <w:numPr>
          <w:ilvl w:val="0"/>
          <w:numId w:val="28"/>
        </w:numPr>
        <w:contextualSpacing/>
        <w:textAlignment w:val="baseline"/>
        <w:rPr>
          <w:rFonts w:eastAsiaTheme="minorEastAsia"/>
          <w:color w:val="000000"/>
          <w:lang w:eastAsia="zh-CN"/>
        </w:rPr>
      </w:pPr>
      <w:r w:rsidRPr="00BC46E1">
        <w:rPr>
          <w:rFonts w:eastAsiaTheme="minorEastAsia"/>
          <w:color w:val="000000"/>
          <w:lang w:eastAsia="zh-CN"/>
        </w:rPr>
        <w:t>Promote sound solid waste management to avoid public open burning through alternative environmentally sound waste disposal and management</w:t>
      </w:r>
    </w:p>
    <w:p w:rsidR="00BC46E1" w:rsidRPr="00BC46E1" w:rsidRDefault="00BC46E1" w:rsidP="00BC46E1">
      <w:pPr>
        <w:numPr>
          <w:ilvl w:val="0"/>
          <w:numId w:val="28"/>
        </w:numPr>
        <w:contextualSpacing/>
        <w:textAlignment w:val="baseline"/>
        <w:rPr>
          <w:rFonts w:eastAsiaTheme="minorEastAsia"/>
          <w:color w:val="000000"/>
          <w:lang w:eastAsia="zh-CN"/>
        </w:rPr>
      </w:pPr>
      <w:r w:rsidRPr="00BC46E1">
        <w:rPr>
          <w:rFonts w:eastAsiaTheme="minorEastAsia"/>
          <w:color w:val="000000"/>
          <w:lang w:eastAsia="zh-CN"/>
        </w:rPr>
        <w:t>Develop or establish community-based waste sorting, collection, recycling or environ</w:t>
      </w:r>
      <w:r w:rsidR="00325709">
        <w:rPr>
          <w:rFonts w:eastAsiaTheme="minorEastAsia"/>
          <w:color w:val="000000"/>
          <w:lang w:eastAsia="zh-CN"/>
        </w:rPr>
        <w:t>mentally sound waste management</w:t>
      </w:r>
    </w:p>
    <w:p w:rsidR="00BC46E1" w:rsidRPr="00BC46E1" w:rsidRDefault="00BC46E1" w:rsidP="00BC46E1">
      <w:pPr>
        <w:numPr>
          <w:ilvl w:val="0"/>
          <w:numId w:val="28"/>
        </w:numPr>
        <w:contextualSpacing/>
        <w:textAlignment w:val="baseline"/>
        <w:rPr>
          <w:rFonts w:eastAsiaTheme="minorEastAsia"/>
          <w:color w:val="000000"/>
          <w:lang w:eastAsia="zh-CN"/>
        </w:rPr>
      </w:pPr>
      <w:r w:rsidRPr="00BC46E1">
        <w:rPr>
          <w:rFonts w:eastAsiaTheme="minorEastAsia"/>
          <w:color w:val="000000"/>
          <w:lang w:eastAsia="zh-CN"/>
        </w:rPr>
        <w:t>Develop and implement integrated waste management plan at the community level generating livelihoods, health and other benefits</w:t>
      </w:r>
    </w:p>
    <w:p w:rsidR="00BC46E1" w:rsidRPr="00BC46E1" w:rsidRDefault="00BC46E1" w:rsidP="00BC46E1">
      <w:pPr>
        <w:numPr>
          <w:ilvl w:val="0"/>
          <w:numId w:val="28"/>
        </w:numPr>
        <w:contextualSpacing/>
        <w:textAlignment w:val="baseline"/>
        <w:rPr>
          <w:rFonts w:eastAsiaTheme="minorEastAsia"/>
          <w:color w:val="000000"/>
          <w:lang w:eastAsia="zh-CN"/>
        </w:rPr>
      </w:pPr>
      <w:r w:rsidRPr="00BC46E1">
        <w:rPr>
          <w:rFonts w:eastAsiaTheme="minorEastAsia"/>
          <w:color w:val="000000"/>
          <w:lang w:eastAsia="zh-CN"/>
        </w:rPr>
        <w:t>Promote awareness-raising, knowledge and technical capacity for waste management</w:t>
      </w:r>
    </w:p>
    <w:p w:rsidR="00BC46E1" w:rsidRDefault="00BC46E1" w:rsidP="004C314A">
      <w:pPr>
        <w:spacing w:after="200" w:line="276" w:lineRule="auto"/>
        <w:rPr>
          <w:rFonts w:eastAsiaTheme="minorEastAsia"/>
          <w:color w:val="000000"/>
          <w:lang w:eastAsia="zh-CN"/>
        </w:rPr>
      </w:pPr>
    </w:p>
    <w:p w:rsidR="00BC46E1" w:rsidRDefault="00BC46E1" w:rsidP="004C314A">
      <w:pPr>
        <w:spacing w:after="200" w:line="276" w:lineRule="auto"/>
        <w:rPr>
          <w:rFonts w:eastAsiaTheme="minorEastAsia"/>
          <w:b/>
          <w:color w:val="000000"/>
          <w:lang w:eastAsia="zh-CN"/>
        </w:rPr>
      </w:pPr>
      <w:r>
        <w:rPr>
          <w:rFonts w:eastAsiaTheme="minorEastAsia"/>
          <w:b/>
          <w:color w:val="000000"/>
          <w:lang w:eastAsia="zh-CN"/>
        </w:rPr>
        <w:t>Thematic Area 3: Heavy metals and other chemicals</w:t>
      </w:r>
    </w:p>
    <w:p w:rsidR="00D11795" w:rsidRPr="00CA073E" w:rsidRDefault="00D11795" w:rsidP="00D11795">
      <w:pPr>
        <w:autoSpaceDE w:val="0"/>
        <w:autoSpaceDN w:val="0"/>
        <w:adjustRightInd w:val="0"/>
        <w:rPr>
          <w:rFonts w:eastAsiaTheme="minorEastAsia"/>
          <w:lang w:eastAsia="zh-CN"/>
        </w:rPr>
      </w:pPr>
      <w:r w:rsidRPr="00CA073E">
        <w:rPr>
          <w:rFonts w:eastAsiaTheme="minorEastAsia"/>
          <w:lang w:eastAsia="zh-CN"/>
        </w:rPr>
        <w:t xml:space="preserve">Developing countries share a disproportionately high burden of coping with the impacts of harmful chemicals, heavy metals and wastes, especially the poor and vulnerable communities suffer most from these negative impacts.  Widely under-reported, artisanal gold mining is one of </w:t>
      </w:r>
      <w:r w:rsidRPr="00CA073E">
        <w:rPr>
          <w:rFonts w:eastAsiaTheme="minorEastAsia"/>
          <w:lang w:eastAsia="zh-CN"/>
        </w:rPr>
        <w:lastRenderedPageBreak/>
        <w:t>the most significant sources of mercury releases into the global environment.  Most artisanal gold miners are from socially and economically marginalized communities, and turn to mining in order to escape extreme poverty, unemployment and landlessness.  The United Nations Industrial Development Organization (UNIDO) estimates that mercury amalgamation from this kind of gold mining results in the release of an estimated 1000 tons of mercury per year, which constitutes about 30 per cent of the world's anthropogenic mercury emissions.</w:t>
      </w:r>
      <w:r w:rsidRPr="00CA073E">
        <w:rPr>
          <w:rFonts w:eastAsiaTheme="minorEastAsia"/>
          <w:vertAlign w:val="superscript"/>
          <w:lang w:eastAsia="zh-CN"/>
        </w:rPr>
        <w:footnoteReference w:id="7"/>
      </w:r>
      <w:r w:rsidRPr="00CA073E">
        <w:rPr>
          <w:rFonts w:eastAsiaTheme="minorEastAsia"/>
          <w:lang w:eastAsia="zh-CN"/>
        </w:rPr>
        <w:t xml:space="preserve"> It is estimated that there are between 10 and 15 million artisanal and small scale gold miners worldwide, including 4.5 million women and 600,000 children</w:t>
      </w:r>
      <w:bookmarkStart w:id="0" w:name="_ftnref"/>
      <w:r w:rsidRPr="00CA073E">
        <w:rPr>
          <w:rFonts w:eastAsiaTheme="minorEastAsia"/>
          <w:lang w:eastAsia="zh-CN"/>
        </w:rPr>
        <w:t>. According to UNIDO, as much as 95 percent of all mercury used in artisanal gold mining is released into the environment, constituting a danger on all fronts - economic, environmental and human health</w:t>
      </w:r>
      <w:bookmarkEnd w:id="0"/>
      <w:r w:rsidRPr="00CA073E">
        <w:rPr>
          <w:rFonts w:eastAsiaTheme="minorEastAsia"/>
          <w:lang w:eastAsia="zh-CN"/>
        </w:rPr>
        <w:t>.</w:t>
      </w:r>
      <w:r w:rsidRPr="00CA073E">
        <w:rPr>
          <w:rFonts w:eastAsiaTheme="minorEastAsia"/>
          <w:vertAlign w:val="superscript"/>
          <w:lang w:eastAsia="zh-CN"/>
        </w:rPr>
        <w:footnoteReference w:id="8"/>
      </w:r>
      <w:r w:rsidRPr="00CA073E">
        <w:rPr>
          <w:rFonts w:eastAsiaTheme="minorEastAsia"/>
          <w:lang w:eastAsia="zh-CN"/>
        </w:rPr>
        <w:t xml:space="preserve">  </w:t>
      </w:r>
    </w:p>
    <w:p w:rsidR="00D11795" w:rsidRDefault="00D11795" w:rsidP="00BC46E1">
      <w:pPr>
        <w:contextualSpacing/>
        <w:textAlignment w:val="baseline"/>
        <w:rPr>
          <w:rFonts w:eastAsiaTheme="minorEastAsia"/>
          <w:color w:val="000000"/>
          <w:lang w:eastAsia="zh-CN"/>
        </w:rPr>
      </w:pPr>
    </w:p>
    <w:p w:rsidR="00BC46E1" w:rsidRDefault="00BC46E1" w:rsidP="00BC46E1">
      <w:pPr>
        <w:contextualSpacing/>
        <w:textAlignment w:val="baseline"/>
        <w:rPr>
          <w:rFonts w:eastAsiaTheme="minorEastAsia"/>
          <w:color w:val="000000"/>
          <w:lang w:eastAsia="zh-CN"/>
        </w:rPr>
      </w:pPr>
      <w:r w:rsidRPr="00BC46E1">
        <w:rPr>
          <w:rFonts w:eastAsiaTheme="minorEastAsia"/>
          <w:color w:val="000000"/>
          <w:lang w:eastAsia="zh-CN"/>
        </w:rPr>
        <w:t xml:space="preserve">Proposed </w:t>
      </w:r>
      <w:r w:rsidR="00D11795">
        <w:rPr>
          <w:rFonts w:eastAsiaTheme="minorEastAsia"/>
          <w:color w:val="000000"/>
          <w:lang w:eastAsia="zh-CN"/>
        </w:rPr>
        <w:t>activities under this thematic area may include the following:</w:t>
      </w:r>
    </w:p>
    <w:p w:rsidR="00BC46E1" w:rsidRPr="00BC46E1" w:rsidRDefault="00BC46E1" w:rsidP="00BC46E1">
      <w:pPr>
        <w:contextualSpacing/>
        <w:textAlignment w:val="baseline"/>
        <w:rPr>
          <w:rFonts w:eastAsiaTheme="minorEastAsia"/>
          <w:color w:val="000000"/>
          <w:lang w:eastAsia="zh-CN"/>
        </w:rPr>
      </w:pPr>
    </w:p>
    <w:p w:rsidR="00D03AEB" w:rsidRPr="00D03AEB" w:rsidRDefault="00D03AEB" w:rsidP="00D03AEB">
      <w:pPr>
        <w:numPr>
          <w:ilvl w:val="0"/>
          <w:numId w:val="28"/>
        </w:numPr>
        <w:contextualSpacing/>
        <w:textAlignment w:val="baseline"/>
        <w:rPr>
          <w:rFonts w:eastAsiaTheme="minorEastAsia"/>
          <w:color w:val="000000"/>
          <w:lang w:eastAsia="zh-CN"/>
        </w:rPr>
      </w:pPr>
      <w:r w:rsidRPr="00D03AEB">
        <w:rPr>
          <w:rFonts w:eastAsiaTheme="minorEastAsia"/>
          <w:color w:val="000000"/>
          <w:lang w:eastAsia="zh-CN"/>
        </w:rPr>
        <w:t>Promote sound solid waste management to avoid public open burning through alternative environmentally sound waste disposal and management</w:t>
      </w:r>
    </w:p>
    <w:p w:rsidR="00D03AEB" w:rsidRPr="00D03AEB" w:rsidRDefault="00D03AEB" w:rsidP="00D03AEB">
      <w:pPr>
        <w:numPr>
          <w:ilvl w:val="0"/>
          <w:numId w:val="28"/>
        </w:numPr>
        <w:contextualSpacing/>
        <w:textAlignment w:val="baseline"/>
        <w:rPr>
          <w:rFonts w:eastAsiaTheme="minorEastAsia"/>
          <w:color w:val="000000"/>
          <w:lang w:eastAsia="zh-CN"/>
        </w:rPr>
      </w:pPr>
      <w:r w:rsidRPr="00D03AEB">
        <w:rPr>
          <w:rFonts w:eastAsiaTheme="minorEastAsia"/>
          <w:color w:val="000000"/>
          <w:lang w:eastAsia="zh-CN"/>
        </w:rPr>
        <w:t>Develop or establish community-based waste sorting, collection, recycling or environmentally sound waste management (e.g. sustainable cities)</w:t>
      </w:r>
    </w:p>
    <w:p w:rsidR="00D03AEB" w:rsidRPr="00D03AEB" w:rsidRDefault="00D03AEB" w:rsidP="00D03AEB">
      <w:pPr>
        <w:numPr>
          <w:ilvl w:val="0"/>
          <w:numId w:val="28"/>
        </w:numPr>
        <w:contextualSpacing/>
        <w:textAlignment w:val="baseline"/>
        <w:rPr>
          <w:rFonts w:eastAsiaTheme="minorEastAsia"/>
          <w:color w:val="000000"/>
          <w:lang w:eastAsia="zh-CN"/>
        </w:rPr>
      </w:pPr>
      <w:r w:rsidRPr="00D03AEB">
        <w:rPr>
          <w:rFonts w:eastAsiaTheme="minorEastAsia"/>
          <w:color w:val="000000"/>
          <w:lang w:eastAsia="zh-CN"/>
        </w:rPr>
        <w:t>Develop and implement integrated waste management plan at the community level generating livelihoods, health and other benefits</w:t>
      </w:r>
    </w:p>
    <w:p w:rsidR="00D03AEB" w:rsidRPr="00D03AEB" w:rsidRDefault="00D03AEB" w:rsidP="00D03AEB">
      <w:pPr>
        <w:numPr>
          <w:ilvl w:val="0"/>
          <w:numId w:val="28"/>
        </w:numPr>
        <w:contextualSpacing/>
        <w:textAlignment w:val="baseline"/>
        <w:rPr>
          <w:rFonts w:eastAsiaTheme="minorEastAsia"/>
          <w:color w:val="000000"/>
          <w:lang w:eastAsia="zh-CN"/>
        </w:rPr>
      </w:pPr>
      <w:r w:rsidRPr="00D03AEB">
        <w:rPr>
          <w:rFonts w:eastAsiaTheme="minorEastAsia"/>
          <w:color w:val="000000"/>
          <w:lang w:eastAsia="zh-CN"/>
        </w:rPr>
        <w:t>Promote awareness-raising, knowledge and technical capacity for waste management</w:t>
      </w:r>
    </w:p>
    <w:p w:rsidR="00BC46E1" w:rsidRDefault="00BC46E1" w:rsidP="00D03AEB">
      <w:pPr>
        <w:contextualSpacing/>
        <w:textAlignment w:val="baseline"/>
        <w:rPr>
          <w:rFonts w:eastAsiaTheme="minorEastAsia"/>
          <w:color w:val="000000"/>
          <w:lang w:eastAsia="zh-CN"/>
        </w:rPr>
      </w:pPr>
    </w:p>
    <w:p w:rsidR="00D03AEB" w:rsidRPr="00D03AEB" w:rsidRDefault="00D03AEB" w:rsidP="00D03AEB">
      <w:pPr>
        <w:contextualSpacing/>
        <w:textAlignment w:val="baseline"/>
        <w:rPr>
          <w:rFonts w:eastAsiaTheme="minorEastAsia"/>
          <w:b/>
          <w:color w:val="000000"/>
          <w:lang w:eastAsia="zh-CN"/>
        </w:rPr>
      </w:pPr>
      <w:r w:rsidRPr="00D03AEB">
        <w:rPr>
          <w:rFonts w:eastAsiaTheme="minorEastAsia"/>
          <w:b/>
          <w:color w:val="000000"/>
          <w:lang w:eastAsia="zh-CN"/>
        </w:rPr>
        <w:t>Thematic Area 4: Coalitions and Networks</w:t>
      </w:r>
    </w:p>
    <w:p w:rsidR="00D03AEB" w:rsidRDefault="00D03AEB" w:rsidP="00D03AEB">
      <w:pPr>
        <w:contextualSpacing/>
        <w:textAlignment w:val="baseline"/>
        <w:rPr>
          <w:rFonts w:eastAsiaTheme="minorEastAsia"/>
          <w:color w:val="000000"/>
          <w:lang w:eastAsia="zh-CN"/>
        </w:rPr>
      </w:pPr>
    </w:p>
    <w:p w:rsidR="008420E3" w:rsidRPr="008420E3" w:rsidRDefault="008420E3" w:rsidP="008420E3">
      <w:pPr>
        <w:jc w:val="both"/>
        <w:rPr>
          <w:rFonts w:eastAsiaTheme="minorEastAsia"/>
          <w:lang w:eastAsia="zh-CN"/>
        </w:rPr>
      </w:pPr>
      <w:r w:rsidRPr="008420E3">
        <w:rPr>
          <w:rFonts w:eastAsiaTheme="minorEastAsia"/>
          <w:lang w:eastAsia="zh-CN"/>
        </w:rPr>
        <w:t xml:space="preserve">In overall chemicals management, building on the successes in some SGP country programs in establishing the certification system of organic biodiversity products (such as the organic honey-producing business certification supported by SGP Mexico), a priority area would be to establish systems of local certification of producers and/or their products through promotion of organic production processes, the development and implementation local certification manual/guidelines, networking of producers, as well as strategic linkages and agreements between producers and consumers. s. Work will also involve advocacy for national government policies that will influence markets including chemicals import and export. </w:t>
      </w:r>
      <w:r>
        <w:rPr>
          <w:rFonts w:eastAsiaTheme="minorEastAsia"/>
          <w:lang w:eastAsia="zh-CN"/>
        </w:rPr>
        <w:t>Activities under this thematic area may include:</w:t>
      </w:r>
    </w:p>
    <w:p w:rsidR="008420E3" w:rsidRPr="008420E3" w:rsidRDefault="008420E3" w:rsidP="00D03AEB">
      <w:pPr>
        <w:contextualSpacing/>
        <w:textAlignment w:val="baseline"/>
        <w:rPr>
          <w:rFonts w:eastAsiaTheme="minorEastAsia"/>
          <w:lang w:eastAsia="zh-CN"/>
        </w:rPr>
      </w:pPr>
    </w:p>
    <w:p w:rsidR="00D03AEB" w:rsidRPr="00D03AEB" w:rsidRDefault="00D03AEB" w:rsidP="00D03AEB">
      <w:pPr>
        <w:numPr>
          <w:ilvl w:val="0"/>
          <w:numId w:val="28"/>
        </w:numPr>
        <w:contextualSpacing/>
        <w:textAlignment w:val="baseline"/>
        <w:rPr>
          <w:rFonts w:eastAsiaTheme="minorEastAsia"/>
          <w:color w:val="000000"/>
          <w:lang w:eastAsia="zh-CN"/>
        </w:rPr>
      </w:pPr>
      <w:r w:rsidRPr="00D03AEB">
        <w:rPr>
          <w:rFonts w:eastAsiaTheme="minorEastAsia"/>
          <w:color w:val="000000"/>
          <w:lang w:eastAsia="zh-CN"/>
        </w:rPr>
        <w:t>Systems of local certification of producers and/or their products</w:t>
      </w:r>
    </w:p>
    <w:p w:rsidR="00D03AEB" w:rsidRPr="00D03AEB" w:rsidRDefault="00D03AEB" w:rsidP="00D03AEB">
      <w:pPr>
        <w:numPr>
          <w:ilvl w:val="0"/>
          <w:numId w:val="28"/>
        </w:numPr>
        <w:contextualSpacing/>
        <w:textAlignment w:val="baseline"/>
        <w:rPr>
          <w:rFonts w:eastAsiaTheme="minorEastAsia"/>
          <w:color w:val="000000"/>
          <w:lang w:eastAsia="zh-CN"/>
        </w:rPr>
      </w:pPr>
      <w:r w:rsidRPr="00D03AEB">
        <w:rPr>
          <w:rFonts w:eastAsiaTheme="minorEastAsia"/>
          <w:color w:val="000000"/>
          <w:lang w:eastAsia="zh-CN"/>
        </w:rPr>
        <w:t>Development and implementation of local certification manual/guidelines</w:t>
      </w:r>
    </w:p>
    <w:p w:rsidR="00D03AEB" w:rsidRPr="00D03AEB" w:rsidRDefault="00D03AEB" w:rsidP="00D03AEB">
      <w:pPr>
        <w:numPr>
          <w:ilvl w:val="0"/>
          <w:numId w:val="28"/>
        </w:numPr>
        <w:contextualSpacing/>
        <w:textAlignment w:val="baseline"/>
        <w:rPr>
          <w:rFonts w:eastAsiaTheme="minorEastAsia"/>
          <w:color w:val="000000"/>
          <w:lang w:eastAsia="zh-CN"/>
        </w:rPr>
      </w:pPr>
      <w:r w:rsidRPr="00D03AEB">
        <w:rPr>
          <w:rFonts w:eastAsiaTheme="minorEastAsia"/>
          <w:color w:val="000000"/>
          <w:lang w:eastAsia="zh-CN"/>
        </w:rPr>
        <w:t>Networking of producers</w:t>
      </w:r>
    </w:p>
    <w:p w:rsidR="00D03AEB" w:rsidRPr="00D03AEB" w:rsidRDefault="00D03AEB" w:rsidP="00D03AEB">
      <w:pPr>
        <w:numPr>
          <w:ilvl w:val="0"/>
          <w:numId w:val="28"/>
        </w:numPr>
        <w:contextualSpacing/>
        <w:textAlignment w:val="baseline"/>
        <w:rPr>
          <w:rFonts w:eastAsiaTheme="minorEastAsia"/>
          <w:color w:val="000000"/>
          <w:lang w:eastAsia="zh-CN"/>
        </w:rPr>
      </w:pPr>
      <w:r w:rsidRPr="00D03AEB">
        <w:rPr>
          <w:rFonts w:eastAsiaTheme="minorEastAsia"/>
          <w:color w:val="000000"/>
          <w:lang w:eastAsia="zh-CN"/>
        </w:rPr>
        <w:t>Strategic linkages and agreements between producers and consumers</w:t>
      </w:r>
    </w:p>
    <w:p w:rsidR="00D03AEB" w:rsidRPr="00D03AEB" w:rsidRDefault="00D03AEB" w:rsidP="00D03AEB">
      <w:pPr>
        <w:numPr>
          <w:ilvl w:val="0"/>
          <w:numId w:val="28"/>
        </w:numPr>
        <w:contextualSpacing/>
        <w:textAlignment w:val="baseline"/>
        <w:rPr>
          <w:rFonts w:eastAsiaTheme="minorEastAsia"/>
          <w:color w:val="000000"/>
          <w:lang w:eastAsia="zh-CN"/>
        </w:rPr>
      </w:pPr>
      <w:r w:rsidRPr="00D03AEB">
        <w:rPr>
          <w:rFonts w:eastAsiaTheme="minorEastAsia"/>
          <w:color w:val="000000"/>
          <w:lang w:eastAsia="zh-CN"/>
        </w:rPr>
        <w:t xml:space="preserve">Advocacy for national policies that will influence chemicals import and export. </w:t>
      </w:r>
    </w:p>
    <w:p w:rsidR="00D03AEB" w:rsidRPr="00D03AEB" w:rsidRDefault="00D03AEB" w:rsidP="00D03AEB">
      <w:pPr>
        <w:contextualSpacing/>
        <w:textAlignment w:val="baseline"/>
        <w:rPr>
          <w:rFonts w:eastAsiaTheme="minorEastAsia"/>
          <w:color w:val="000000"/>
          <w:lang w:eastAsia="zh-CN"/>
        </w:rPr>
      </w:pPr>
    </w:p>
    <w:p w:rsidR="001C0893" w:rsidRDefault="001C0893" w:rsidP="0046218D">
      <w:pPr>
        <w:jc w:val="both"/>
        <w:rPr>
          <w:rFonts w:asciiTheme="minorHAnsi" w:hAnsiTheme="minorHAnsi" w:cs="Arial"/>
          <w:b/>
          <w:caps/>
          <w:sz w:val="22"/>
          <w:szCs w:val="22"/>
        </w:rPr>
      </w:pPr>
    </w:p>
    <w:p w:rsidR="00484984" w:rsidRDefault="00484984" w:rsidP="0046218D">
      <w:pPr>
        <w:jc w:val="both"/>
        <w:rPr>
          <w:rFonts w:asciiTheme="minorHAnsi" w:hAnsiTheme="minorHAnsi" w:cs="Arial"/>
          <w:b/>
          <w:caps/>
          <w:sz w:val="22"/>
          <w:szCs w:val="22"/>
        </w:rPr>
      </w:pPr>
    </w:p>
    <w:p w:rsidR="00484984" w:rsidRDefault="00484984" w:rsidP="0046218D">
      <w:pPr>
        <w:jc w:val="both"/>
        <w:rPr>
          <w:rFonts w:asciiTheme="minorHAnsi" w:hAnsiTheme="minorHAnsi" w:cs="Arial"/>
          <w:b/>
          <w:caps/>
          <w:sz w:val="22"/>
          <w:szCs w:val="22"/>
        </w:rPr>
      </w:pPr>
    </w:p>
    <w:p w:rsidR="001C36AF" w:rsidRPr="001C36AF" w:rsidRDefault="001C36AF" w:rsidP="0046218D">
      <w:pPr>
        <w:jc w:val="both"/>
        <w:rPr>
          <w:rFonts w:asciiTheme="minorHAnsi" w:hAnsiTheme="minorHAnsi" w:cs="Arial"/>
          <w:b/>
          <w:caps/>
          <w:sz w:val="22"/>
          <w:szCs w:val="22"/>
        </w:rPr>
      </w:pPr>
      <w:r w:rsidRPr="001C36AF">
        <w:rPr>
          <w:rFonts w:asciiTheme="minorHAnsi" w:hAnsiTheme="minorHAnsi" w:cs="Arial"/>
          <w:b/>
          <w:caps/>
          <w:sz w:val="22"/>
          <w:szCs w:val="22"/>
        </w:rPr>
        <w:lastRenderedPageBreak/>
        <w:t xml:space="preserve">POTENTIAL PARTNERSHIPS </w:t>
      </w:r>
    </w:p>
    <w:p w:rsidR="00D7539B" w:rsidRDefault="00D7539B" w:rsidP="0046218D">
      <w:pPr>
        <w:jc w:val="both"/>
        <w:rPr>
          <w:rFonts w:asciiTheme="minorHAnsi" w:hAnsiTheme="minorHAnsi" w:cs="Arial"/>
          <w:sz w:val="22"/>
          <w:szCs w:val="22"/>
        </w:rPr>
      </w:pPr>
    </w:p>
    <w:p w:rsidR="008420E3" w:rsidRPr="004C314A" w:rsidRDefault="008420E3" w:rsidP="008420E3">
      <w:pPr>
        <w:spacing w:after="200" w:line="276" w:lineRule="auto"/>
        <w:rPr>
          <w:rFonts w:eastAsiaTheme="minorEastAsia"/>
          <w:color w:val="000000"/>
          <w:lang w:eastAsia="zh-CN"/>
        </w:rPr>
      </w:pPr>
      <w:r w:rsidRPr="004C314A">
        <w:rPr>
          <w:rFonts w:eastAsiaTheme="minorEastAsia"/>
          <w:color w:val="000000"/>
          <w:lang w:eastAsia="zh-CN"/>
        </w:rPr>
        <w:t>As this focal area is one of the newest focal areas with coverage changes over the years, SGP is still in the stage of accumulating knowledge and experiences to identify good practices for upscaling.  SGP’s priority areas for testing and innovation include electronic waste management, mercury management, lead paint, plastics, and chemicals in products.  Recognizing its being relatively new in these areas, SGP will work with partners, such as International POPs Elimination Network (IPEN), World Health Organization (WHO), UN Food and Agriculture Organization (FAO), Blacksmith Institute and GEF full-sized projects as well as other partners to develop, implement and monitor/evaluate innovative and experimental projects.  Experiences and lessons learnt from partners’ work will be systematically shared and disseminated to inspire community innovation.</w:t>
      </w:r>
    </w:p>
    <w:p w:rsidR="008420E3" w:rsidRPr="004C314A" w:rsidRDefault="008420E3" w:rsidP="008420E3">
      <w:pPr>
        <w:spacing w:after="200" w:line="276" w:lineRule="auto"/>
        <w:rPr>
          <w:rFonts w:eastAsiaTheme="minorEastAsia"/>
          <w:color w:val="000000"/>
          <w:lang w:eastAsia="zh-CN"/>
        </w:rPr>
      </w:pPr>
      <w:r w:rsidRPr="004C314A">
        <w:rPr>
          <w:rFonts w:eastAsiaTheme="minorEastAsia"/>
          <w:color w:val="000000"/>
          <w:lang w:eastAsia="zh-CN"/>
        </w:rPr>
        <w:t xml:space="preserve">In selected countries, SGP will work with government agencies and key partners to strengthen import-export policies, rules/procedures and restrictions.  Where successful alternatives are identified, SGP will promote national and global learning and sharing through conferences, networks, and media coverage for replication and upscaling.  </w:t>
      </w:r>
    </w:p>
    <w:p w:rsidR="008420E3" w:rsidRPr="004D7CF4" w:rsidRDefault="008420E3" w:rsidP="0046218D">
      <w:pPr>
        <w:jc w:val="both"/>
        <w:rPr>
          <w:rFonts w:asciiTheme="minorHAnsi" w:hAnsiTheme="minorHAnsi" w:cs="Arial"/>
          <w:b/>
          <w:bCs/>
          <w:smallCaps/>
          <w:sz w:val="22"/>
          <w:szCs w:val="22"/>
        </w:rPr>
      </w:pPr>
    </w:p>
    <w:p w:rsidR="00EF3637" w:rsidRPr="004D7CF4" w:rsidRDefault="00F2280F" w:rsidP="0046218D">
      <w:pPr>
        <w:jc w:val="both"/>
        <w:rPr>
          <w:rFonts w:asciiTheme="minorHAnsi" w:hAnsiTheme="minorHAnsi" w:cs="Arial"/>
          <w:bCs/>
          <w:sz w:val="22"/>
          <w:szCs w:val="22"/>
        </w:rPr>
      </w:pPr>
      <w:r>
        <w:rPr>
          <w:rFonts w:asciiTheme="minorHAnsi" w:hAnsiTheme="minorHAnsi" w:cs="Arial"/>
          <w:b/>
          <w:caps/>
          <w:sz w:val="22"/>
          <w:szCs w:val="22"/>
        </w:rPr>
        <w:t>Outcomes, indicators</w:t>
      </w:r>
      <w:r w:rsidR="001C0893">
        <w:rPr>
          <w:rFonts w:asciiTheme="minorHAnsi" w:hAnsiTheme="minorHAnsi" w:cs="Arial"/>
          <w:b/>
          <w:caps/>
          <w:sz w:val="22"/>
          <w:szCs w:val="22"/>
        </w:rPr>
        <w:t xml:space="preserve"> AND RESULTS</w:t>
      </w:r>
      <w:r w:rsidR="00EF3637" w:rsidRPr="008B0492">
        <w:rPr>
          <w:rFonts w:asciiTheme="minorHAnsi" w:hAnsiTheme="minorHAnsi" w:cs="Arial"/>
          <w:b/>
          <w:caps/>
          <w:sz w:val="22"/>
          <w:szCs w:val="22"/>
        </w:rPr>
        <w:t xml:space="preserve"> Measurement</w:t>
      </w:r>
    </w:p>
    <w:p w:rsidR="008420E3" w:rsidRDefault="008420E3" w:rsidP="001C0893">
      <w:pPr>
        <w:rPr>
          <w:rFonts w:asciiTheme="minorHAnsi" w:hAnsiTheme="minorHAnsi" w:cs="Arial"/>
          <w:bCs/>
          <w:sz w:val="22"/>
          <w:szCs w:val="22"/>
        </w:rPr>
      </w:pPr>
    </w:p>
    <w:p w:rsidR="001C0893" w:rsidRDefault="00BC01C2" w:rsidP="001C0893">
      <w:pPr>
        <w:rPr>
          <w:rFonts w:eastAsiaTheme="minorEastAsia"/>
          <w:color w:val="000000"/>
          <w:lang w:eastAsia="zh-CN"/>
        </w:rPr>
      </w:pPr>
      <w:r w:rsidRPr="008420E3">
        <w:rPr>
          <w:rFonts w:eastAsiaTheme="minorEastAsia"/>
          <w:color w:val="000000"/>
          <w:lang w:eastAsia="zh-CN"/>
        </w:rPr>
        <w:t>The global results framework</w:t>
      </w:r>
      <w:r w:rsidR="001C0893" w:rsidRPr="008420E3">
        <w:rPr>
          <w:rFonts w:eastAsiaTheme="minorEastAsia"/>
          <w:color w:val="000000"/>
          <w:lang w:eastAsia="zh-CN"/>
        </w:rPr>
        <w:t xml:space="preserve"> and indicator</w:t>
      </w:r>
      <w:r w:rsidR="00F2280F" w:rsidRPr="008420E3">
        <w:rPr>
          <w:rFonts w:eastAsiaTheme="minorEastAsia"/>
          <w:color w:val="000000"/>
          <w:lang w:eastAsia="zh-CN"/>
        </w:rPr>
        <w:t>s</w:t>
      </w:r>
      <w:r w:rsidR="008420E3" w:rsidRPr="008420E3">
        <w:rPr>
          <w:rFonts w:eastAsiaTheme="minorEastAsia"/>
          <w:color w:val="000000"/>
          <w:lang w:eastAsia="zh-CN"/>
        </w:rPr>
        <w:t xml:space="preserve"> is included as Annex 1 to this document</w:t>
      </w:r>
      <w:r w:rsidR="00680F47">
        <w:rPr>
          <w:rFonts w:eastAsiaTheme="minorEastAsia"/>
          <w:color w:val="000000"/>
          <w:lang w:eastAsia="zh-CN"/>
        </w:rPr>
        <w:t xml:space="preserve">. A comprehensive SGP training module on chemicals and waste is available: </w:t>
      </w:r>
      <w:hyperlink r:id="rId9" w:history="1">
        <w:r w:rsidR="00680F47" w:rsidRPr="007308C0">
          <w:rPr>
            <w:rStyle w:val="Hyperlink"/>
            <w:rFonts w:eastAsiaTheme="minorEastAsia"/>
            <w:lang w:eastAsia="zh-CN"/>
          </w:rPr>
          <w:t>www.sgp-pops.org</w:t>
        </w:r>
      </w:hyperlink>
      <w:r w:rsidR="00680F47">
        <w:rPr>
          <w:rFonts w:eastAsiaTheme="minorEastAsia"/>
          <w:color w:val="000000"/>
          <w:lang w:eastAsia="zh-CN"/>
        </w:rPr>
        <w:t>.</w:t>
      </w:r>
    </w:p>
    <w:p w:rsidR="00680F47" w:rsidRPr="008420E3" w:rsidRDefault="00680F47" w:rsidP="001C0893">
      <w:pPr>
        <w:rPr>
          <w:rFonts w:eastAsiaTheme="minorEastAsia"/>
          <w:color w:val="000000"/>
          <w:lang w:eastAsia="zh-CN"/>
        </w:rPr>
      </w:pPr>
      <w:bookmarkStart w:id="1" w:name="_GoBack"/>
      <w:bookmarkEnd w:id="1"/>
    </w:p>
    <w:p w:rsidR="001C0893" w:rsidRPr="008420E3" w:rsidRDefault="001C0893" w:rsidP="001C0893">
      <w:pPr>
        <w:rPr>
          <w:rFonts w:eastAsiaTheme="minorEastAsia"/>
          <w:color w:val="000000"/>
          <w:lang w:eastAsia="zh-CN"/>
        </w:rPr>
      </w:pPr>
    </w:p>
    <w:p w:rsidR="003D0505" w:rsidRDefault="003D0505" w:rsidP="007B1E7D">
      <w:pPr>
        <w:rPr>
          <w:rFonts w:asciiTheme="minorHAnsi" w:hAnsiTheme="minorHAnsi" w:cs="Arial"/>
          <w:sz w:val="22"/>
          <w:szCs w:val="22"/>
        </w:rPr>
      </w:pPr>
      <w:bookmarkStart w:id="2" w:name="Annex1"/>
      <w:bookmarkStart w:id="3" w:name="Annex2"/>
      <w:bookmarkEnd w:id="2"/>
      <w:bookmarkEnd w:id="3"/>
    </w:p>
    <w:p w:rsidR="003D0505" w:rsidRDefault="003D0505" w:rsidP="007B1E7D">
      <w:pPr>
        <w:rPr>
          <w:rFonts w:asciiTheme="minorHAnsi" w:hAnsiTheme="minorHAnsi" w:cs="Arial"/>
          <w:sz w:val="22"/>
          <w:szCs w:val="22"/>
        </w:rPr>
        <w:sectPr w:rsidR="003D0505" w:rsidSect="0061306A">
          <w:headerReference w:type="default" r:id="rId10"/>
          <w:footerReference w:type="default" r:id="rId11"/>
          <w:pgSz w:w="12240" w:h="15840"/>
          <w:pgMar w:top="1440" w:right="1440" w:bottom="1440" w:left="1440" w:header="720" w:footer="720" w:gutter="0"/>
          <w:cols w:space="720"/>
          <w:docGrid w:linePitch="360"/>
        </w:sectPr>
      </w:pPr>
    </w:p>
    <w:tbl>
      <w:tblPr>
        <w:tblpPr w:leftFromText="180" w:rightFromText="180" w:vertAnchor="text" w:tblpY="1"/>
        <w:tblOverlap w:val="never"/>
        <w:tblW w:w="1403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2120"/>
        <w:gridCol w:w="2400"/>
        <w:gridCol w:w="2400"/>
        <w:gridCol w:w="2400"/>
        <w:gridCol w:w="2400"/>
        <w:gridCol w:w="2315"/>
      </w:tblGrid>
      <w:tr w:rsidR="003D0505" w:rsidRPr="003D0505" w:rsidTr="003355A6">
        <w:trPr>
          <w:trHeight w:val="576"/>
          <w:tblHeader/>
        </w:trPr>
        <w:tc>
          <w:tcPr>
            <w:tcW w:w="14035" w:type="dxa"/>
            <w:gridSpan w:val="6"/>
            <w:shd w:val="clear" w:color="auto" w:fill="CCCCCC"/>
          </w:tcPr>
          <w:p w:rsidR="003D0505" w:rsidRPr="003D0505" w:rsidRDefault="003D0505" w:rsidP="003D0505">
            <w:pPr>
              <w:spacing w:after="200" w:line="276" w:lineRule="auto"/>
              <w:rPr>
                <w:rFonts w:ascii="Calibri" w:eastAsia="SimSun" w:hAnsi="Calibri"/>
                <w:b/>
                <w:bCs/>
                <w:sz w:val="26"/>
                <w:szCs w:val="26"/>
              </w:rPr>
            </w:pPr>
            <w:r w:rsidRPr="003D0505">
              <w:rPr>
                <w:rFonts w:ascii="Calibri" w:eastAsia="SimSun" w:hAnsi="Calibri"/>
                <w:b/>
                <w:bCs/>
                <w:sz w:val="26"/>
                <w:szCs w:val="26"/>
              </w:rPr>
              <w:lastRenderedPageBreak/>
              <w:t>Project Objective: To support the creation of global environmental benefits and the safeguarding of the global environment through community and local solutions that complement and add value to national and global level action</w:t>
            </w:r>
          </w:p>
        </w:tc>
      </w:tr>
      <w:tr w:rsidR="003D0505" w:rsidRPr="003D0505" w:rsidTr="003355A6">
        <w:trPr>
          <w:trHeight w:val="432"/>
          <w:tblHeader/>
        </w:trPr>
        <w:tc>
          <w:tcPr>
            <w:tcW w:w="2120" w:type="dxa"/>
            <w:shd w:val="clear" w:color="auto" w:fill="CCCCCC"/>
            <w:vAlign w:val="center"/>
          </w:tcPr>
          <w:p w:rsidR="003D0505" w:rsidRPr="003D0505" w:rsidRDefault="003D0505" w:rsidP="003D0505">
            <w:pPr>
              <w:spacing w:after="200" w:line="276" w:lineRule="auto"/>
              <w:rPr>
                <w:rFonts w:ascii="Calibri" w:eastAsia="SimSun" w:hAnsi="Calibri"/>
                <w:b/>
                <w:bCs/>
                <w:szCs w:val="22"/>
              </w:rPr>
            </w:pPr>
            <w:r w:rsidRPr="003D0505">
              <w:rPr>
                <w:rFonts w:ascii="Calibri" w:eastAsia="SimSun" w:hAnsi="Calibri"/>
                <w:b/>
                <w:bCs/>
                <w:szCs w:val="22"/>
              </w:rPr>
              <w:t>Component</w:t>
            </w:r>
          </w:p>
        </w:tc>
        <w:tc>
          <w:tcPr>
            <w:tcW w:w="2400" w:type="dxa"/>
            <w:shd w:val="clear" w:color="auto" w:fill="CCCCCC"/>
            <w:vAlign w:val="center"/>
          </w:tcPr>
          <w:p w:rsidR="003D0505" w:rsidRPr="003D0505" w:rsidRDefault="003D0505" w:rsidP="003D0505">
            <w:pPr>
              <w:spacing w:after="200" w:line="276" w:lineRule="auto"/>
              <w:rPr>
                <w:rFonts w:ascii="Calibri" w:eastAsia="SimSun" w:hAnsi="Calibri"/>
                <w:b/>
                <w:bCs/>
                <w:szCs w:val="22"/>
              </w:rPr>
            </w:pPr>
            <w:r w:rsidRPr="003D0505">
              <w:rPr>
                <w:rFonts w:ascii="Calibri" w:eastAsia="SimSun" w:hAnsi="Calibri"/>
                <w:b/>
                <w:bCs/>
                <w:szCs w:val="22"/>
              </w:rPr>
              <w:t>Outcome</w:t>
            </w:r>
          </w:p>
        </w:tc>
        <w:tc>
          <w:tcPr>
            <w:tcW w:w="2400" w:type="dxa"/>
            <w:shd w:val="clear" w:color="auto" w:fill="CCCCCC"/>
            <w:vAlign w:val="center"/>
          </w:tcPr>
          <w:p w:rsidR="003D0505" w:rsidRPr="003D0505" w:rsidRDefault="003D0505" w:rsidP="003D0505">
            <w:pPr>
              <w:spacing w:after="200" w:line="276" w:lineRule="auto"/>
              <w:rPr>
                <w:rFonts w:ascii="Calibri" w:eastAsia="SimSun" w:hAnsi="Calibri"/>
                <w:b/>
                <w:bCs/>
                <w:szCs w:val="22"/>
              </w:rPr>
            </w:pPr>
            <w:r w:rsidRPr="003D0505">
              <w:rPr>
                <w:rFonts w:ascii="Calibri" w:eastAsia="SimSun" w:hAnsi="Calibri"/>
                <w:b/>
                <w:bCs/>
                <w:szCs w:val="22"/>
              </w:rPr>
              <w:t>Indicators</w:t>
            </w:r>
          </w:p>
        </w:tc>
        <w:tc>
          <w:tcPr>
            <w:tcW w:w="2400" w:type="dxa"/>
            <w:shd w:val="clear" w:color="auto" w:fill="CCCCCC"/>
            <w:vAlign w:val="center"/>
          </w:tcPr>
          <w:p w:rsidR="003D0505" w:rsidRPr="003D0505" w:rsidRDefault="003D0505" w:rsidP="003D0505">
            <w:pPr>
              <w:spacing w:after="200" w:line="276" w:lineRule="auto"/>
              <w:rPr>
                <w:rFonts w:ascii="Calibri" w:eastAsia="SimSun" w:hAnsi="Calibri"/>
                <w:b/>
                <w:bCs/>
                <w:szCs w:val="22"/>
              </w:rPr>
            </w:pPr>
            <w:r w:rsidRPr="003D0505">
              <w:rPr>
                <w:rFonts w:ascii="Calibri" w:eastAsia="SimSun" w:hAnsi="Calibri"/>
                <w:b/>
                <w:bCs/>
                <w:szCs w:val="22"/>
              </w:rPr>
              <w:t xml:space="preserve"> Target</w:t>
            </w:r>
          </w:p>
        </w:tc>
        <w:tc>
          <w:tcPr>
            <w:tcW w:w="2400" w:type="dxa"/>
            <w:shd w:val="clear" w:color="auto" w:fill="CCCCCC"/>
            <w:vAlign w:val="center"/>
          </w:tcPr>
          <w:p w:rsidR="003D0505" w:rsidRPr="003D0505" w:rsidRDefault="003D0505" w:rsidP="003D0505">
            <w:pPr>
              <w:spacing w:after="200" w:line="276" w:lineRule="auto"/>
              <w:rPr>
                <w:rFonts w:ascii="Calibri" w:eastAsia="SimSun" w:hAnsi="Calibri"/>
                <w:b/>
                <w:bCs/>
                <w:szCs w:val="22"/>
              </w:rPr>
            </w:pPr>
            <w:r w:rsidRPr="003D0505">
              <w:rPr>
                <w:rFonts w:ascii="Calibri" w:eastAsia="SimSun" w:hAnsi="Calibri"/>
                <w:b/>
                <w:bCs/>
                <w:szCs w:val="22"/>
              </w:rPr>
              <w:t>Verification Means</w:t>
            </w:r>
          </w:p>
        </w:tc>
        <w:tc>
          <w:tcPr>
            <w:tcW w:w="2315" w:type="dxa"/>
            <w:shd w:val="clear" w:color="auto" w:fill="CCCCCC"/>
            <w:vAlign w:val="center"/>
          </w:tcPr>
          <w:p w:rsidR="003D0505" w:rsidRPr="003D0505" w:rsidRDefault="003D0505" w:rsidP="003D0505">
            <w:pPr>
              <w:spacing w:after="200" w:line="276" w:lineRule="auto"/>
              <w:rPr>
                <w:rFonts w:ascii="Calibri" w:eastAsia="SimSun" w:hAnsi="Calibri"/>
                <w:b/>
                <w:bCs/>
                <w:szCs w:val="22"/>
              </w:rPr>
            </w:pPr>
            <w:r w:rsidRPr="003D0505">
              <w:rPr>
                <w:rFonts w:ascii="Calibri" w:eastAsia="SimSun" w:hAnsi="Calibri"/>
                <w:b/>
                <w:bCs/>
                <w:szCs w:val="22"/>
              </w:rPr>
              <w:t>Assumptions</w:t>
            </w:r>
          </w:p>
        </w:tc>
      </w:tr>
      <w:tr w:rsidR="003D0505" w:rsidRPr="003D0505" w:rsidTr="003355A6">
        <w:tc>
          <w:tcPr>
            <w:tcW w:w="2120" w:type="dxa"/>
            <w:tcBorders>
              <w:bottom w:val="single" w:sz="4" w:space="0" w:color="7F7F7F"/>
            </w:tcBorders>
            <w:shd w:val="pct5" w:color="auto" w:fill="auto"/>
          </w:tcPr>
          <w:p w:rsidR="003D0505" w:rsidRPr="003D0505" w:rsidRDefault="003D0505" w:rsidP="003D0505">
            <w:pPr>
              <w:spacing w:after="200" w:line="276" w:lineRule="auto"/>
              <w:rPr>
                <w:rFonts w:ascii="Calibri" w:eastAsia="SimSun" w:hAnsi="Calibri"/>
                <w:i/>
                <w:szCs w:val="22"/>
              </w:rPr>
            </w:pPr>
            <w:r w:rsidRPr="003D0505">
              <w:rPr>
                <w:rFonts w:ascii="Calibri" w:eastAsia="SimSun" w:hAnsi="Calibri"/>
                <w:i/>
                <w:szCs w:val="22"/>
              </w:rPr>
              <w:t>4. Local to Global Chemical Management Coalitions</w:t>
            </w:r>
          </w:p>
        </w:tc>
        <w:tc>
          <w:tcPr>
            <w:tcW w:w="2400" w:type="dxa"/>
            <w:shd w:val="clear" w:color="auto" w:fill="auto"/>
          </w:tcPr>
          <w:p w:rsidR="003D0505" w:rsidRPr="003D0505" w:rsidRDefault="003D0505" w:rsidP="003D0505">
            <w:pPr>
              <w:spacing w:after="200" w:line="276" w:lineRule="auto"/>
              <w:rPr>
                <w:rFonts w:ascii="Calibri" w:eastAsia="SimSun" w:hAnsi="Calibri"/>
                <w:sz w:val="22"/>
                <w:szCs w:val="22"/>
              </w:rPr>
            </w:pPr>
            <w:r w:rsidRPr="003D0505">
              <w:rPr>
                <w:rFonts w:ascii="Calibri" w:eastAsia="SimSun" w:hAnsi="Calibri"/>
                <w:sz w:val="22"/>
                <w:szCs w:val="22"/>
              </w:rPr>
              <w:t>4.1 Innovative community-based tools and approaches demonstrated, deployed and transferred, with support from newly organized or existing coalitions in at least 20 countries for managing harmful chemicals and waste in a sound manner</w:t>
            </w:r>
          </w:p>
        </w:tc>
        <w:tc>
          <w:tcPr>
            <w:tcW w:w="2400" w:type="dxa"/>
            <w:shd w:val="clear" w:color="auto" w:fill="auto"/>
          </w:tcPr>
          <w:p w:rsidR="003D0505" w:rsidRPr="003D0505" w:rsidRDefault="003D0505" w:rsidP="003D0505">
            <w:pPr>
              <w:spacing w:after="200" w:line="276" w:lineRule="auto"/>
              <w:rPr>
                <w:rFonts w:ascii="Calibri" w:eastAsia="SimSun" w:hAnsi="Calibri"/>
                <w:sz w:val="22"/>
                <w:szCs w:val="22"/>
              </w:rPr>
            </w:pPr>
            <w:r w:rsidRPr="003D0505">
              <w:rPr>
                <w:rFonts w:ascii="Calibri" w:eastAsia="SimSun" w:hAnsi="Calibri"/>
                <w:sz w:val="22"/>
                <w:szCs w:val="22"/>
              </w:rPr>
              <w:t>Number of community-based tools/approaches to avoid and reduce chemicals demonstrated, deployed and transferred</w:t>
            </w:r>
          </w:p>
          <w:p w:rsidR="003D0505" w:rsidRPr="003D0505" w:rsidRDefault="003D0505" w:rsidP="003D0505">
            <w:pPr>
              <w:spacing w:after="200" w:line="276" w:lineRule="auto"/>
              <w:rPr>
                <w:rFonts w:ascii="Calibri" w:eastAsia="SimSun" w:hAnsi="Calibri"/>
                <w:sz w:val="22"/>
                <w:szCs w:val="22"/>
              </w:rPr>
            </w:pPr>
            <w:r w:rsidRPr="003D0505">
              <w:rPr>
                <w:rFonts w:ascii="Calibri" w:eastAsia="SimSun" w:hAnsi="Calibri"/>
                <w:sz w:val="22"/>
                <w:szCs w:val="22"/>
              </w:rPr>
              <w:t>Number of coalitions and networks established or strengthened</w:t>
            </w:r>
          </w:p>
          <w:p w:rsidR="003D0505" w:rsidRPr="003D0505" w:rsidRDefault="003D0505" w:rsidP="003D0505">
            <w:pPr>
              <w:spacing w:after="200" w:line="276" w:lineRule="auto"/>
              <w:rPr>
                <w:rFonts w:ascii="Calibri" w:eastAsia="SimSun" w:hAnsi="Calibri"/>
                <w:sz w:val="22"/>
                <w:szCs w:val="22"/>
              </w:rPr>
            </w:pPr>
          </w:p>
          <w:p w:rsidR="003D0505" w:rsidRPr="003D0505" w:rsidRDefault="003D0505" w:rsidP="003D0505">
            <w:pPr>
              <w:spacing w:after="200" w:line="276" w:lineRule="auto"/>
              <w:rPr>
                <w:rFonts w:ascii="Calibri" w:eastAsia="SimSun" w:hAnsi="Calibri"/>
                <w:sz w:val="22"/>
                <w:szCs w:val="22"/>
              </w:rPr>
            </w:pPr>
          </w:p>
        </w:tc>
        <w:tc>
          <w:tcPr>
            <w:tcW w:w="2400" w:type="dxa"/>
            <w:shd w:val="clear" w:color="auto" w:fill="auto"/>
          </w:tcPr>
          <w:p w:rsidR="003D0505" w:rsidRPr="003D0505" w:rsidRDefault="003D0505" w:rsidP="003D0505">
            <w:pPr>
              <w:spacing w:after="200" w:line="276" w:lineRule="auto"/>
              <w:rPr>
                <w:rFonts w:ascii="Calibri" w:eastAsia="SimSun" w:hAnsi="Calibri"/>
                <w:sz w:val="22"/>
                <w:szCs w:val="22"/>
              </w:rPr>
            </w:pPr>
            <w:r w:rsidRPr="003D0505">
              <w:rPr>
                <w:rFonts w:ascii="Calibri" w:eastAsia="SimSun" w:hAnsi="Calibri"/>
                <w:sz w:val="22"/>
                <w:szCs w:val="22"/>
              </w:rPr>
              <w:t>At least 3 innovative tools/approaches demonstrated, deployed and transferred</w:t>
            </w:r>
          </w:p>
          <w:p w:rsidR="003D0505" w:rsidRPr="003D0505" w:rsidRDefault="003D0505" w:rsidP="003D0505">
            <w:pPr>
              <w:spacing w:after="200" w:line="276" w:lineRule="auto"/>
              <w:rPr>
                <w:rFonts w:ascii="Calibri" w:eastAsia="SimSun" w:hAnsi="Calibri"/>
                <w:sz w:val="22"/>
                <w:szCs w:val="22"/>
              </w:rPr>
            </w:pPr>
          </w:p>
          <w:p w:rsidR="003D0505" w:rsidRPr="003D0505" w:rsidRDefault="003D0505" w:rsidP="003D0505">
            <w:pPr>
              <w:spacing w:after="200" w:line="276" w:lineRule="auto"/>
              <w:rPr>
                <w:rFonts w:ascii="Calibri" w:eastAsia="SimSun" w:hAnsi="Calibri"/>
                <w:sz w:val="22"/>
                <w:szCs w:val="22"/>
              </w:rPr>
            </w:pPr>
            <w:r w:rsidRPr="003D0505">
              <w:rPr>
                <w:rFonts w:ascii="Calibri" w:eastAsia="SimSun" w:hAnsi="Calibri"/>
                <w:sz w:val="22"/>
                <w:szCs w:val="22"/>
              </w:rPr>
              <w:t>At least one national coalition or network for chemicals management established or strengthened in lead countries</w:t>
            </w:r>
          </w:p>
          <w:p w:rsidR="003D0505" w:rsidRPr="003D0505" w:rsidRDefault="003D0505" w:rsidP="003D0505">
            <w:pPr>
              <w:spacing w:after="200" w:line="276" w:lineRule="auto"/>
              <w:rPr>
                <w:rFonts w:ascii="Calibri" w:eastAsia="SimSun" w:hAnsi="Calibri"/>
                <w:sz w:val="22"/>
                <w:szCs w:val="22"/>
              </w:rPr>
            </w:pPr>
            <w:r w:rsidRPr="003D0505">
              <w:rPr>
                <w:rFonts w:ascii="Calibri" w:eastAsia="SimSun" w:hAnsi="Calibri"/>
                <w:sz w:val="22"/>
                <w:szCs w:val="22"/>
              </w:rPr>
              <w:t>At least three coalitions or networks established at the regional or global levels to advocate for safe chemicals management</w:t>
            </w:r>
          </w:p>
        </w:tc>
        <w:tc>
          <w:tcPr>
            <w:tcW w:w="2400" w:type="dxa"/>
            <w:shd w:val="clear" w:color="auto" w:fill="auto"/>
          </w:tcPr>
          <w:p w:rsidR="003D0505" w:rsidRPr="003D0505" w:rsidRDefault="003D0505" w:rsidP="003D0505">
            <w:pPr>
              <w:spacing w:after="200" w:line="276" w:lineRule="auto"/>
              <w:rPr>
                <w:rFonts w:ascii="Calibri" w:eastAsia="SimSun" w:hAnsi="Calibri"/>
                <w:sz w:val="22"/>
                <w:szCs w:val="22"/>
              </w:rPr>
            </w:pPr>
            <w:r w:rsidRPr="003D0505">
              <w:rPr>
                <w:rFonts w:ascii="Calibri" w:eastAsia="SimSun" w:hAnsi="Calibri"/>
                <w:sz w:val="22"/>
                <w:szCs w:val="22"/>
              </w:rPr>
              <w:t>ACR</w:t>
            </w:r>
          </w:p>
          <w:p w:rsidR="003D0505" w:rsidRPr="003D0505" w:rsidRDefault="003D0505" w:rsidP="003D0505">
            <w:pPr>
              <w:spacing w:after="200" w:line="276" w:lineRule="auto"/>
              <w:rPr>
                <w:rFonts w:ascii="Calibri" w:eastAsia="SimSun" w:hAnsi="Calibri"/>
                <w:sz w:val="22"/>
                <w:szCs w:val="22"/>
              </w:rPr>
            </w:pPr>
          </w:p>
          <w:p w:rsidR="003D0505" w:rsidRPr="003D0505" w:rsidRDefault="003D0505" w:rsidP="003D0505">
            <w:pPr>
              <w:spacing w:after="200" w:line="276" w:lineRule="auto"/>
              <w:rPr>
                <w:rFonts w:ascii="Calibri" w:eastAsia="SimSun" w:hAnsi="Calibri"/>
                <w:sz w:val="22"/>
                <w:szCs w:val="22"/>
              </w:rPr>
            </w:pPr>
            <w:r w:rsidRPr="003D0505">
              <w:rPr>
                <w:rFonts w:ascii="Calibri" w:eastAsia="SimSun" w:hAnsi="Calibri"/>
                <w:sz w:val="22"/>
                <w:szCs w:val="22"/>
              </w:rPr>
              <w:t>Annual Monitoring Reports (AMR)</w:t>
            </w:r>
          </w:p>
          <w:p w:rsidR="003D0505" w:rsidRPr="003D0505" w:rsidRDefault="003D0505" w:rsidP="003D0505">
            <w:pPr>
              <w:spacing w:after="200" w:line="276" w:lineRule="auto"/>
              <w:rPr>
                <w:rFonts w:ascii="Calibri" w:eastAsia="SimSun" w:hAnsi="Calibri"/>
                <w:sz w:val="22"/>
                <w:szCs w:val="22"/>
              </w:rPr>
            </w:pPr>
          </w:p>
          <w:p w:rsidR="003D0505" w:rsidRPr="003D0505" w:rsidRDefault="003D0505" w:rsidP="003D0505">
            <w:pPr>
              <w:spacing w:after="200" w:line="276" w:lineRule="auto"/>
              <w:rPr>
                <w:rFonts w:ascii="Calibri" w:eastAsia="SimSun" w:hAnsi="Calibri"/>
                <w:sz w:val="22"/>
                <w:szCs w:val="22"/>
              </w:rPr>
            </w:pPr>
            <w:r w:rsidRPr="003D0505">
              <w:rPr>
                <w:rFonts w:ascii="Calibri" w:eastAsia="SimSun" w:hAnsi="Calibri"/>
                <w:sz w:val="22"/>
                <w:szCs w:val="22"/>
              </w:rPr>
              <w:t>Global Database</w:t>
            </w:r>
          </w:p>
          <w:p w:rsidR="003D0505" w:rsidRPr="003D0505" w:rsidRDefault="003D0505" w:rsidP="003D0505">
            <w:pPr>
              <w:spacing w:after="200" w:line="276" w:lineRule="auto"/>
              <w:rPr>
                <w:rFonts w:ascii="Calibri" w:eastAsia="SimSun" w:hAnsi="Calibri"/>
                <w:sz w:val="22"/>
                <w:szCs w:val="22"/>
              </w:rPr>
            </w:pPr>
          </w:p>
          <w:p w:rsidR="003D0505" w:rsidRPr="003D0505" w:rsidRDefault="003D0505" w:rsidP="003D0505">
            <w:pPr>
              <w:spacing w:after="200" w:line="276" w:lineRule="auto"/>
              <w:rPr>
                <w:rFonts w:ascii="Calibri" w:eastAsia="SimSun" w:hAnsi="Calibri"/>
                <w:sz w:val="22"/>
                <w:szCs w:val="22"/>
              </w:rPr>
            </w:pPr>
            <w:r w:rsidRPr="003D0505">
              <w:rPr>
                <w:rFonts w:ascii="Calibri" w:eastAsia="SimSun" w:hAnsi="Calibri"/>
                <w:sz w:val="22"/>
                <w:szCs w:val="22"/>
              </w:rPr>
              <w:t>Case studies and portfolio review</w:t>
            </w:r>
          </w:p>
          <w:p w:rsidR="003D0505" w:rsidRPr="003D0505" w:rsidRDefault="003D0505" w:rsidP="003D0505">
            <w:pPr>
              <w:spacing w:after="200" w:line="276" w:lineRule="auto"/>
              <w:rPr>
                <w:rFonts w:ascii="Calibri" w:eastAsia="SimSun" w:hAnsi="Calibri"/>
                <w:sz w:val="22"/>
                <w:szCs w:val="22"/>
              </w:rPr>
            </w:pPr>
          </w:p>
          <w:p w:rsidR="003D0505" w:rsidRPr="003D0505" w:rsidRDefault="003D0505" w:rsidP="003D0505">
            <w:pPr>
              <w:spacing w:after="200" w:line="276" w:lineRule="auto"/>
              <w:rPr>
                <w:rFonts w:ascii="Calibri" w:eastAsia="SimSun" w:hAnsi="Calibri"/>
                <w:sz w:val="22"/>
                <w:szCs w:val="22"/>
              </w:rPr>
            </w:pPr>
            <w:r w:rsidRPr="003D0505">
              <w:rPr>
                <w:rFonts w:ascii="Calibri" w:eastAsia="SimSun" w:hAnsi="Calibri"/>
                <w:sz w:val="22"/>
                <w:szCs w:val="22"/>
              </w:rPr>
              <w:t>Monitoring and oversight by UNDP-CO, NSC and CPMT</w:t>
            </w:r>
          </w:p>
          <w:p w:rsidR="003D0505" w:rsidRPr="003D0505" w:rsidRDefault="003D0505" w:rsidP="003D0505">
            <w:pPr>
              <w:spacing w:after="200" w:line="276" w:lineRule="auto"/>
              <w:rPr>
                <w:rFonts w:ascii="Calibri" w:eastAsia="SimSun" w:hAnsi="Calibri"/>
                <w:sz w:val="22"/>
                <w:szCs w:val="22"/>
              </w:rPr>
            </w:pPr>
          </w:p>
        </w:tc>
        <w:tc>
          <w:tcPr>
            <w:tcW w:w="2315" w:type="dxa"/>
          </w:tcPr>
          <w:p w:rsidR="003D0505" w:rsidRPr="003D0505" w:rsidRDefault="003D0505" w:rsidP="003D0505">
            <w:pPr>
              <w:spacing w:after="200" w:line="276" w:lineRule="auto"/>
              <w:rPr>
                <w:rFonts w:ascii="Calibri" w:eastAsia="SimSun" w:hAnsi="Calibri"/>
                <w:sz w:val="22"/>
                <w:szCs w:val="22"/>
              </w:rPr>
            </w:pPr>
            <w:r w:rsidRPr="003D0505">
              <w:rPr>
                <w:rFonts w:ascii="Calibri" w:eastAsia="SimSun" w:hAnsi="Calibri"/>
                <w:sz w:val="22"/>
                <w:szCs w:val="22"/>
              </w:rPr>
              <w:t xml:space="preserve">Communities and CSOs have innovative and implementation capacity </w:t>
            </w:r>
          </w:p>
          <w:p w:rsidR="003D0505" w:rsidRPr="003D0505" w:rsidRDefault="003D0505" w:rsidP="003D0505">
            <w:pPr>
              <w:spacing w:after="200" w:line="276" w:lineRule="auto"/>
              <w:rPr>
                <w:rFonts w:ascii="Calibri" w:eastAsia="SimSun" w:hAnsi="Calibri"/>
                <w:sz w:val="22"/>
                <w:szCs w:val="22"/>
              </w:rPr>
            </w:pPr>
          </w:p>
          <w:p w:rsidR="003D0505" w:rsidRPr="003D0505" w:rsidRDefault="003D0505" w:rsidP="003D0505">
            <w:pPr>
              <w:spacing w:after="200" w:line="276" w:lineRule="auto"/>
              <w:rPr>
                <w:rFonts w:ascii="Calibri" w:eastAsia="SimSun" w:hAnsi="Calibri"/>
                <w:sz w:val="22"/>
                <w:szCs w:val="22"/>
              </w:rPr>
            </w:pPr>
            <w:r w:rsidRPr="003D0505">
              <w:rPr>
                <w:rFonts w:ascii="Calibri" w:eastAsia="SimSun" w:hAnsi="Calibri"/>
                <w:sz w:val="22"/>
                <w:szCs w:val="22"/>
              </w:rPr>
              <w:t>Technical support and funding resources available for national, regional and global networking for the formation of coalitions</w:t>
            </w:r>
          </w:p>
          <w:p w:rsidR="003D0505" w:rsidRPr="003D0505" w:rsidRDefault="003D0505" w:rsidP="003D0505">
            <w:pPr>
              <w:spacing w:after="200" w:line="276" w:lineRule="auto"/>
              <w:rPr>
                <w:rFonts w:ascii="Calibri" w:eastAsia="SimSun" w:hAnsi="Calibri"/>
                <w:sz w:val="22"/>
                <w:szCs w:val="22"/>
              </w:rPr>
            </w:pPr>
          </w:p>
        </w:tc>
      </w:tr>
    </w:tbl>
    <w:p w:rsidR="007B1E7D" w:rsidRPr="004208DB" w:rsidRDefault="007B1E7D" w:rsidP="007B1E7D">
      <w:pPr>
        <w:rPr>
          <w:rFonts w:asciiTheme="minorHAnsi" w:hAnsiTheme="minorHAnsi" w:cs="Arial"/>
          <w:sz w:val="22"/>
          <w:szCs w:val="22"/>
        </w:rPr>
      </w:pPr>
    </w:p>
    <w:sectPr w:rsidR="007B1E7D" w:rsidRPr="004208DB" w:rsidSect="003D050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185" w:rsidRDefault="00EC6185">
      <w:r>
        <w:separator/>
      </w:r>
    </w:p>
  </w:endnote>
  <w:endnote w:type="continuationSeparator" w:id="0">
    <w:p w:rsidR="00EC6185" w:rsidRDefault="00EC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66668"/>
      <w:docPartObj>
        <w:docPartGallery w:val="Page Numbers (Bottom of Page)"/>
        <w:docPartUnique/>
      </w:docPartObj>
    </w:sdtPr>
    <w:sdtEndPr/>
    <w:sdtContent>
      <w:p w:rsidR="001529E3" w:rsidRDefault="00CB252B">
        <w:pPr>
          <w:pStyle w:val="Footer"/>
          <w:jc w:val="center"/>
        </w:pPr>
        <w:r>
          <w:fldChar w:fldCharType="begin"/>
        </w:r>
        <w:r>
          <w:instrText xml:space="preserve"> PAGE   \* MERGEFORMAT </w:instrText>
        </w:r>
        <w:r>
          <w:fldChar w:fldCharType="separate"/>
        </w:r>
        <w:r w:rsidR="00680F47">
          <w:rPr>
            <w:noProof/>
          </w:rPr>
          <w:t>7</w:t>
        </w:r>
        <w:r>
          <w:rPr>
            <w:noProof/>
          </w:rPr>
          <w:fldChar w:fldCharType="end"/>
        </w:r>
      </w:p>
    </w:sdtContent>
  </w:sdt>
  <w:p w:rsidR="001529E3" w:rsidRDefault="00152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185" w:rsidRDefault="00EC6185">
      <w:r>
        <w:separator/>
      </w:r>
    </w:p>
  </w:footnote>
  <w:footnote w:type="continuationSeparator" w:id="0">
    <w:p w:rsidR="00EC6185" w:rsidRDefault="00EC6185">
      <w:r>
        <w:continuationSeparator/>
      </w:r>
    </w:p>
  </w:footnote>
  <w:footnote w:id="1">
    <w:p w:rsidR="00CA073E" w:rsidRDefault="00CA073E" w:rsidP="00CA073E">
      <w:pPr>
        <w:pStyle w:val="FootnoteText"/>
      </w:pPr>
      <w:r>
        <w:rPr>
          <w:rStyle w:val="FootnoteReference"/>
        </w:rPr>
        <w:footnoteRef/>
      </w:r>
      <w:r>
        <w:t xml:space="preserve"> UNEP Global Chemicals Outlook 2012</w:t>
      </w:r>
    </w:p>
  </w:footnote>
  <w:footnote w:id="2">
    <w:p w:rsidR="00CA073E" w:rsidRDefault="00CA073E" w:rsidP="00CA073E">
      <w:pPr>
        <w:pStyle w:val="FootnoteText"/>
      </w:pPr>
      <w:r>
        <w:rPr>
          <w:rStyle w:val="FootnoteReference"/>
        </w:rPr>
        <w:footnoteRef/>
      </w:r>
      <w:r>
        <w:t xml:space="preserve"> </w:t>
      </w:r>
      <w:r w:rsidRPr="00DC1ADC">
        <w:t>Sheff</w:t>
      </w:r>
      <w:r>
        <w:t xml:space="preserve">ield, P.E. and </w:t>
      </w:r>
      <w:proofErr w:type="spellStart"/>
      <w:r>
        <w:t>Landrigan</w:t>
      </w:r>
      <w:proofErr w:type="spellEnd"/>
      <w:r>
        <w:t>, P.J. 2011</w:t>
      </w:r>
      <w:r w:rsidRPr="00DC1ADC">
        <w:t>. Global climate change and children</w:t>
      </w:r>
      <w:r w:rsidRPr="00DC1ADC">
        <w:rPr>
          <w:rFonts w:hint="eastAsia"/>
        </w:rPr>
        <w:t>’</w:t>
      </w:r>
      <w:r>
        <w:t xml:space="preserve">s health: threats </w:t>
      </w:r>
      <w:r w:rsidRPr="00DC1ADC">
        <w:t xml:space="preserve">and strategies for prevention. </w:t>
      </w:r>
      <w:r w:rsidRPr="00DC1ADC">
        <w:rPr>
          <w:i/>
          <w:iCs/>
        </w:rPr>
        <w:t xml:space="preserve">Environmental Health Perspectives </w:t>
      </w:r>
      <w:r w:rsidRPr="00DC1ADC">
        <w:t>119(3), 291</w:t>
      </w:r>
      <w:r w:rsidRPr="00DC1ADC">
        <w:rPr>
          <w:rFonts w:hint="eastAsia"/>
        </w:rPr>
        <w:t>–</w:t>
      </w:r>
      <w:r w:rsidRPr="00DC1ADC">
        <w:t>298</w:t>
      </w:r>
    </w:p>
  </w:footnote>
  <w:footnote w:id="3">
    <w:p w:rsidR="00CA073E" w:rsidRDefault="00CA073E" w:rsidP="00CA073E">
      <w:pPr>
        <w:pStyle w:val="FootnoteText"/>
      </w:pPr>
      <w:r>
        <w:rPr>
          <w:rStyle w:val="FootnoteReference"/>
        </w:rPr>
        <w:footnoteRef/>
      </w:r>
      <w:r>
        <w:t xml:space="preserve"> International </w:t>
      </w:r>
      <w:proofErr w:type="spellStart"/>
      <w:r>
        <w:t>Labour</w:t>
      </w:r>
      <w:proofErr w:type="spellEnd"/>
      <w:r>
        <w:t xml:space="preserve"> Office.  2012.  </w:t>
      </w:r>
      <w:r w:rsidRPr="00572FD7">
        <w:rPr>
          <w:i/>
        </w:rPr>
        <w:t>The Global Impact of E-waste: Addressing the Challenge</w:t>
      </w:r>
      <w:r>
        <w:t>.</w:t>
      </w:r>
    </w:p>
  </w:footnote>
  <w:footnote w:id="4">
    <w:p w:rsidR="00CA073E" w:rsidRDefault="00CA073E" w:rsidP="00CA073E">
      <w:pPr>
        <w:pStyle w:val="FootnoteText"/>
      </w:pPr>
      <w:r>
        <w:rPr>
          <w:rStyle w:val="FootnoteReference"/>
        </w:rPr>
        <w:footnoteRef/>
      </w:r>
      <w:r>
        <w:t xml:space="preserve"> GEF Evaluation Office.  2007.  The Joint Evaluation of GEF Small Grants </w:t>
      </w:r>
      <w:proofErr w:type="spellStart"/>
      <w:r>
        <w:t>Programme</w:t>
      </w:r>
      <w:proofErr w:type="spellEnd"/>
      <w:r>
        <w:t>.</w:t>
      </w:r>
    </w:p>
  </w:footnote>
  <w:footnote w:id="5">
    <w:p w:rsidR="006E7893" w:rsidRDefault="006E7893" w:rsidP="006E7893">
      <w:pPr>
        <w:pStyle w:val="FootnoteText"/>
      </w:pPr>
      <w:r>
        <w:rPr>
          <w:rStyle w:val="FootnoteReference"/>
        </w:rPr>
        <w:footnoteRef/>
      </w:r>
      <w:r>
        <w:t xml:space="preserve"> Pesticide Action Network.  2010.  </w:t>
      </w:r>
      <w:r w:rsidRPr="00572FD7">
        <w:rPr>
          <w:i/>
        </w:rPr>
        <w:t>Communities in Peril: Global report on health impacts of pesticide use in agriculture</w:t>
      </w:r>
      <w:r>
        <w:t>.</w:t>
      </w:r>
    </w:p>
  </w:footnote>
  <w:footnote w:id="6">
    <w:p w:rsidR="006E7893" w:rsidRDefault="006E7893" w:rsidP="006E7893">
      <w:pPr>
        <w:pStyle w:val="FootnoteText"/>
      </w:pPr>
      <w:r>
        <w:rPr>
          <w:rStyle w:val="FootnoteReference"/>
        </w:rPr>
        <w:footnoteRef/>
      </w:r>
      <w:r>
        <w:t xml:space="preserve"> UNEP Global Chemicals Outlook 2012</w:t>
      </w:r>
    </w:p>
  </w:footnote>
  <w:footnote w:id="7">
    <w:p w:rsidR="00D11795" w:rsidRDefault="00D11795" w:rsidP="00D11795">
      <w:pPr>
        <w:pStyle w:val="FootnoteText"/>
      </w:pPr>
      <w:r>
        <w:rPr>
          <w:rStyle w:val="FootnoteReference"/>
        </w:rPr>
        <w:footnoteRef/>
      </w:r>
      <w:r>
        <w:t xml:space="preserve"> </w:t>
      </w:r>
      <w:proofErr w:type="spellStart"/>
      <w:r>
        <w:t>Veiga</w:t>
      </w:r>
      <w:proofErr w:type="spellEnd"/>
      <w:r>
        <w:t>, M.M., Baker, R.  2004</w:t>
      </w:r>
      <w:r w:rsidRPr="008B0356">
        <w:t xml:space="preserve">. </w:t>
      </w:r>
      <w:r>
        <w:t xml:space="preserve"> </w:t>
      </w:r>
      <w:r w:rsidRPr="00572FD7">
        <w:rPr>
          <w:i/>
        </w:rPr>
        <w:t>Protocols for Environmental and Health Assessment of Mercury Released by Artisanal and Small Scale Miners, Report to the Global Mercury Project: Removal of Barriers to Introduction of Cleaner Artisanal Gold Mining and Extraction Technologies</w:t>
      </w:r>
      <w:r w:rsidRPr="008B0356">
        <w:t>.</w:t>
      </w:r>
    </w:p>
  </w:footnote>
  <w:footnote w:id="8">
    <w:p w:rsidR="00D11795" w:rsidRDefault="00D11795" w:rsidP="00D11795">
      <w:pPr>
        <w:pStyle w:val="FootnoteText"/>
      </w:pPr>
      <w:r>
        <w:rPr>
          <w:rStyle w:val="FootnoteReference"/>
        </w:rPr>
        <w:footnoteRef/>
      </w:r>
      <w:r>
        <w:t xml:space="preserve"> </w:t>
      </w:r>
      <w:proofErr w:type="spellStart"/>
      <w:r>
        <w:t>Veiga</w:t>
      </w:r>
      <w:proofErr w:type="spellEnd"/>
      <w:r>
        <w:t xml:space="preserve">, M.M., et al.  2005.  </w:t>
      </w:r>
      <w:r w:rsidRPr="00572FD7">
        <w:rPr>
          <w:i/>
        </w:rPr>
        <w:t xml:space="preserve">Pilot Project for the Reduction of Mercury Contamination Resulting From Artisanal Gold Mining Fields in the </w:t>
      </w:r>
      <w:proofErr w:type="spellStart"/>
      <w:r w:rsidRPr="00572FD7">
        <w:rPr>
          <w:i/>
        </w:rPr>
        <w:t>Manica</w:t>
      </w:r>
      <w:proofErr w:type="spellEnd"/>
      <w:r w:rsidRPr="00572FD7">
        <w:rPr>
          <w:i/>
        </w:rPr>
        <w:t xml:space="preserve"> District of Mozambique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E3" w:rsidRDefault="001529E3">
    <w:pPr>
      <w:pStyle w:val="Header"/>
    </w:pPr>
    <w:r w:rsidRPr="004D7CF4">
      <w:rPr>
        <w:noProof/>
      </w:rPr>
      <w:drawing>
        <wp:anchor distT="0" distB="0" distL="114300" distR="114300" simplePos="0" relativeHeight="251659264" behindDoc="0" locked="0" layoutInCell="1" allowOverlap="1">
          <wp:simplePos x="0" y="0"/>
          <wp:positionH relativeFrom="column">
            <wp:posOffset>5267325</wp:posOffset>
          </wp:positionH>
          <wp:positionV relativeFrom="paragraph">
            <wp:posOffset>-314325</wp:posOffset>
          </wp:positionV>
          <wp:extent cx="352425" cy="695325"/>
          <wp:effectExtent l="19050" t="0" r="9525" b="0"/>
          <wp:wrapSquare wrapText="bothSides"/>
          <wp:docPr id="49" name="Picture 2"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dp20mm"/>
                  <pic:cNvPicPr>
                    <a:picLocks noChangeAspect="1" noChangeArrowheads="1"/>
                  </pic:cNvPicPr>
                </pic:nvPicPr>
                <pic:blipFill>
                  <a:blip r:embed="rId1" cstate="print"/>
                  <a:srcRect/>
                  <a:stretch>
                    <a:fillRect/>
                  </a:stretch>
                </pic:blipFill>
                <pic:spPr bwMode="auto">
                  <a:xfrm>
                    <a:off x="0" y="0"/>
                    <a:ext cx="352425" cy="695325"/>
                  </a:xfrm>
                  <a:prstGeom prst="rect">
                    <a:avLst/>
                  </a:prstGeom>
                  <a:noFill/>
                  <a:ln w="9525">
                    <a:noFill/>
                    <a:miter lim="800000"/>
                    <a:headEnd/>
                    <a:tailEnd/>
                  </a:ln>
                </pic:spPr>
              </pic:pic>
            </a:graphicData>
          </a:graphic>
        </wp:anchor>
      </w:drawing>
    </w:r>
    <w:r w:rsidRPr="004D7CF4">
      <w:rPr>
        <w:noProof/>
      </w:rPr>
      <w:drawing>
        <wp:anchor distT="0" distB="0" distL="114300" distR="114300" simplePos="0" relativeHeight="251660288" behindDoc="0" locked="0" layoutInCell="1" allowOverlap="1">
          <wp:simplePos x="0" y="0"/>
          <wp:positionH relativeFrom="column">
            <wp:posOffset>2847975</wp:posOffset>
          </wp:positionH>
          <wp:positionV relativeFrom="paragraph">
            <wp:posOffset>-200025</wp:posOffset>
          </wp:positionV>
          <wp:extent cx="1104900" cy="485775"/>
          <wp:effectExtent l="19050" t="0" r="0" b="0"/>
          <wp:wrapSquare wrapText="bothSides"/>
          <wp:docPr id="50" name="Picture 3" descr="SGP-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P-transparent"/>
                  <pic:cNvPicPr>
                    <a:picLocks noChangeAspect="1" noChangeArrowheads="1"/>
                  </pic:cNvPicPr>
                </pic:nvPicPr>
                <pic:blipFill>
                  <a:blip r:embed="rId2" cstate="print"/>
                  <a:srcRect/>
                  <a:stretch>
                    <a:fillRect/>
                  </a:stretch>
                </pic:blipFill>
                <pic:spPr bwMode="auto">
                  <a:xfrm>
                    <a:off x="0" y="0"/>
                    <a:ext cx="1104900" cy="485775"/>
                  </a:xfrm>
                  <a:prstGeom prst="rect">
                    <a:avLst/>
                  </a:prstGeom>
                  <a:noFill/>
                  <a:ln w="9525">
                    <a:noFill/>
                    <a:miter lim="800000"/>
                    <a:headEnd/>
                    <a:tailEnd/>
                  </a:ln>
                </pic:spPr>
              </pic:pic>
            </a:graphicData>
          </a:graphic>
        </wp:anchor>
      </w:drawing>
    </w:r>
    <w:r w:rsidRPr="004D7CF4">
      <w:rPr>
        <w:noProof/>
      </w:rPr>
      <w:drawing>
        <wp:anchor distT="0" distB="0" distL="114300" distR="114300" simplePos="0" relativeHeight="251661312" behindDoc="0" locked="0" layoutInCell="1" allowOverlap="1">
          <wp:simplePos x="0" y="0"/>
          <wp:positionH relativeFrom="column">
            <wp:posOffset>-361950</wp:posOffset>
          </wp:positionH>
          <wp:positionV relativeFrom="paragraph">
            <wp:posOffset>-209550</wp:posOffset>
          </wp:positionV>
          <wp:extent cx="2286000" cy="495300"/>
          <wp:effectExtent l="19050" t="0" r="0" b="0"/>
          <wp:wrapSquare wrapText="bothSides"/>
          <wp:docPr id="48" name="Picture 3" descr="C:\Users\wb336064\Asmeniniai\Pictures\GEF-new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b336064\Asmeniniai\Pictures\GEF-newlogo-large.jpg"/>
                  <pic:cNvPicPr>
                    <a:picLocks noChangeAspect="1" noChangeArrowheads="1"/>
                  </pic:cNvPicPr>
                </pic:nvPicPr>
                <pic:blipFill>
                  <a:blip r:embed="rId3" cstate="print"/>
                  <a:srcRect/>
                  <a:stretch>
                    <a:fillRect/>
                  </a:stretch>
                </pic:blipFill>
                <pic:spPr bwMode="auto">
                  <a:xfrm>
                    <a:off x="0" y="0"/>
                    <a:ext cx="2286000" cy="495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7BA851C"/>
    <w:lvl w:ilvl="0">
      <w:numFmt w:val="bullet"/>
      <w:lvlText w:val="*"/>
      <w:lvlJc w:val="left"/>
    </w:lvl>
  </w:abstractNum>
  <w:abstractNum w:abstractNumId="1" w15:restartNumberingAfterBreak="0">
    <w:nsid w:val="05A82CBA"/>
    <w:multiLevelType w:val="hybridMultilevel"/>
    <w:tmpl w:val="084A63D2"/>
    <w:lvl w:ilvl="0" w:tplc="CE1C86B6">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91879"/>
    <w:multiLevelType w:val="hybridMultilevel"/>
    <w:tmpl w:val="5CBE5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15BC6"/>
    <w:multiLevelType w:val="hybridMultilevel"/>
    <w:tmpl w:val="14F2D6A0"/>
    <w:lvl w:ilvl="0" w:tplc="CE1C86B6">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E08EC"/>
    <w:multiLevelType w:val="hybridMultilevel"/>
    <w:tmpl w:val="1226B75A"/>
    <w:lvl w:ilvl="0" w:tplc="71AEA9CE">
      <w:start w:val="1"/>
      <w:numFmt w:val="bullet"/>
      <w:lvlText w:val="•"/>
      <w:lvlJc w:val="left"/>
      <w:pPr>
        <w:tabs>
          <w:tab w:val="num" w:pos="720"/>
        </w:tabs>
        <w:ind w:left="720" w:hanging="360"/>
      </w:pPr>
      <w:rPr>
        <w:rFonts w:ascii="Times New Roman" w:hAnsi="Times New Roman" w:hint="default"/>
      </w:rPr>
    </w:lvl>
    <w:lvl w:ilvl="1" w:tplc="CB5ACD6C" w:tentative="1">
      <w:start w:val="1"/>
      <w:numFmt w:val="bullet"/>
      <w:lvlText w:val="•"/>
      <w:lvlJc w:val="left"/>
      <w:pPr>
        <w:tabs>
          <w:tab w:val="num" w:pos="1440"/>
        </w:tabs>
        <w:ind w:left="1440" w:hanging="360"/>
      </w:pPr>
      <w:rPr>
        <w:rFonts w:ascii="Times New Roman" w:hAnsi="Times New Roman" w:hint="default"/>
      </w:rPr>
    </w:lvl>
    <w:lvl w:ilvl="2" w:tplc="3ABCBC36" w:tentative="1">
      <w:start w:val="1"/>
      <w:numFmt w:val="bullet"/>
      <w:lvlText w:val="•"/>
      <w:lvlJc w:val="left"/>
      <w:pPr>
        <w:tabs>
          <w:tab w:val="num" w:pos="2160"/>
        </w:tabs>
        <w:ind w:left="2160" w:hanging="360"/>
      </w:pPr>
      <w:rPr>
        <w:rFonts w:ascii="Times New Roman" w:hAnsi="Times New Roman" w:hint="default"/>
      </w:rPr>
    </w:lvl>
    <w:lvl w:ilvl="3" w:tplc="185ABA98" w:tentative="1">
      <w:start w:val="1"/>
      <w:numFmt w:val="bullet"/>
      <w:lvlText w:val="•"/>
      <w:lvlJc w:val="left"/>
      <w:pPr>
        <w:tabs>
          <w:tab w:val="num" w:pos="2880"/>
        </w:tabs>
        <w:ind w:left="2880" w:hanging="360"/>
      </w:pPr>
      <w:rPr>
        <w:rFonts w:ascii="Times New Roman" w:hAnsi="Times New Roman" w:hint="default"/>
      </w:rPr>
    </w:lvl>
    <w:lvl w:ilvl="4" w:tplc="D51AD112" w:tentative="1">
      <w:start w:val="1"/>
      <w:numFmt w:val="bullet"/>
      <w:lvlText w:val="•"/>
      <w:lvlJc w:val="left"/>
      <w:pPr>
        <w:tabs>
          <w:tab w:val="num" w:pos="3600"/>
        </w:tabs>
        <w:ind w:left="3600" w:hanging="360"/>
      </w:pPr>
      <w:rPr>
        <w:rFonts w:ascii="Times New Roman" w:hAnsi="Times New Roman" w:hint="default"/>
      </w:rPr>
    </w:lvl>
    <w:lvl w:ilvl="5" w:tplc="5204B7FA" w:tentative="1">
      <w:start w:val="1"/>
      <w:numFmt w:val="bullet"/>
      <w:lvlText w:val="•"/>
      <w:lvlJc w:val="left"/>
      <w:pPr>
        <w:tabs>
          <w:tab w:val="num" w:pos="4320"/>
        </w:tabs>
        <w:ind w:left="4320" w:hanging="360"/>
      </w:pPr>
      <w:rPr>
        <w:rFonts w:ascii="Times New Roman" w:hAnsi="Times New Roman" w:hint="default"/>
      </w:rPr>
    </w:lvl>
    <w:lvl w:ilvl="6" w:tplc="8E2E09F0" w:tentative="1">
      <w:start w:val="1"/>
      <w:numFmt w:val="bullet"/>
      <w:lvlText w:val="•"/>
      <w:lvlJc w:val="left"/>
      <w:pPr>
        <w:tabs>
          <w:tab w:val="num" w:pos="5040"/>
        </w:tabs>
        <w:ind w:left="5040" w:hanging="360"/>
      </w:pPr>
      <w:rPr>
        <w:rFonts w:ascii="Times New Roman" w:hAnsi="Times New Roman" w:hint="default"/>
      </w:rPr>
    </w:lvl>
    <w:lvl w:ilvl="7" w:tplc="76867492" w:tentative="1">
      <w:start w:val="1"/>
      <w:numFmt w:val="bullet"/>
      <w:lvlText w:val="•"/>
      <w:lvlJc w:val="left"/>
      <w:pPr>
        <w:tabs>
          <w:tab w:val="num" w:pos="5760"/>
        </w:tabs>
        <w:ind w:left="5760" w:hanging="360"/>
      </w:pPr>
      <w:rPr>
        <w:rFonts w:ascii="Times New Roman" w:hAnsi="Times New Roman" w:hint="default"/>
      </w:rPr>
    </w:lvl>
    <w:lvl w:ilvl="8" w:tplc="94C6F9B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07A540D"/>
    <w:multiLevelType w:val="hybridMultilevel"/>
    <w:tmpl w:val="6E02D98E"/>
    <w:lvl w:ilvl="0" w:tplc="CD78FB74">
      <w:start w:val="1"/>
      <w:numFmt w:val="bullet"/>
      <w:lvlText w:val="•"/>
      <w:lvlJc w:val="left"/>
      <w:pPr>
        <w:tabs>
          <w:tab w:val="num" w:pos="720"/>
        </w:tabs>
        <w:ind w:left="720" w:hanging="360"/>
      </w:pPr>
      <w:rPr>
        <w:rFonts w:ascii="Times New Roman" w:hAnsi="Times New Roman" w:hint="default"/>
      </w:rPr>
    </w:lvl>
    <w:lvl w:ilvl="1" w:tplc="34D8C7DE" w:tentative="1">
      <w:start w:val="1"/>
      <w:numFmt w:val="bullet"/>
      <w:lvlText w:val="•"/>
      <w:lvlJc w:val="left"/>
      <w:pPr>
        <w:tabs>
          <w:tab w:val="num" w:pos="1440"/>
        </w:tabs>
        <w:ind w:left="1440" w:hanging="360"/>
      </w:pPr>
      <w:rPr>
        <w:rFonts w:ascii="Times New Roman" w:hAnsi="Times New Roman" w:hint="default"/>
      </w:rPr>
    </w:lvl>
    <w:lvl w:ilvl="2" w:tplc="0FE28E50" w:tentative="1">
      <w:start w:val="1"/>
      <w:numFmt w:val="bullet"/>
      <w:lvlText w:val="•"/>
      <w:lvlJc w:val="left"/>
      <w:pPr>
        <w:tabs>
          <w:tab w:val="num" w:pos="2160"/>
        </w:tabs>
        <w:ind w:left="2160" w:hanging="360"/>
      </w:pPr>
      <w:rPr>
        <w:rFonts w:ascii="Times New Roman" w:hAnsi="Times New Roman" w:hint="default"/>
      </w:rPr>
    </w:lvl>
    <w:lvl w:ilvl="3" w:tplc="1E308A7C" w:tentative="1">
      <w:start w:val="1"/>
      <w:numFmt w:val="bullet"/>
      <w:lvlText w:val="•"/>
      <w:lvlJc w:val="left"/>
      <w:pPr>
        <w:tabs>
          <w:tab w:val="num" w:pos="2880"/>
        </w:tabs>
        <w:ind w:left="2880" w:hanging="360"/>
      </w:pPr>
      <w:rPr>
        <w:rFonts w:ascii="Times New Roman" w:hAnsi="Times New Roman" w:hint="default"/>
      </w:rPr>
    </w:lvl>
    <w:lvl w:ilvl="4" w:tplc="1BEEDB5C" w:tentative="1">
      <w:start w:val="1"/>
      <w:numFmt w:val="bullet"/>
      <w:lvlText w:val="•"/>
      <w:lvlJc w:val="left"/>
      <w:pPr>
        <w:tabs>
          <w:tab w:val="num" w:pos="3600"/>
        </w:tabs>
        <w:ind w:left="3600" w:hanging="360"/>
      </w:pPr>
      <w:rPr>
        <w:rFonts w:ascii="Times New Roman" w:hAnsi="Times New Roman" w:hint="default"/>
      </w:rPr>
    </w:lvl>
    <w:lvl w:ilvl="5" w:tplc="0108E168" w:tentative="1">
      <w:start w:val="1"/>
      <w:numFmt w:val="bullet"/>
      <w:lvlText w:val="•"/>
      <w:lvlJc w:val="left"/>
      <w:pPr>
        <w:tabs>
          <w:tab w:val="num" w:pos="4320"/>
        </w:tabs>
        <w:ind w:left="4320" w:hanging="360"/>
      </w:pPr>
      <w:rPr>
        <w:rFonts w:ascii="Times New Roman" w:hAnsi="Times New Roman" w:hint="default"/>
      </w:rPr>
    </w:lvl>
    <w:lvl w:ilvl="6" w:tplc="D2627446" w:tentative="1">
      <w:start w:val="1"/>
      <w:numFmt w:val="bullet"/>
      <w:lvlText w:val="•"/>
      <w:lvlJc w:val="left"/>
      <w:pPr>
        <w:tabs>
          <w:tab w:val="num" w:pos="5040"/>
        </w:tabs>
        <w:ind w:left="5040" w:hanging="360"/>
      </w:pPr>
      <w:rPr>
        <w:rFonts w:ascii="Times New Roman" w:hAnsi="Times New Roman" w:hint="default"/>
      </w:rPr>
    </w:lvl>
    <w:lvl w:ilvl="7" w:tplc="03C263F4" w:tentative="1">
      <w:start w:val="1"/>
      <w:numFmt w:val="bullet"/>
      <w:lvlText w:val="•"/>
      <w:lvlJc w:val="left"/>
      <w:pPr>
        <w:tabs>
          <w:tab w:val="num" w:pos="5760"/>
        </w:tabs>
        <w:ind w:left="5760" w:hanging="360"/>
      </w:pPr>
      <w:rPr>
        <w:rFonts w:ascii="Times New Roman" w:hAnsi="Times New Roman" w:hint="default"/>
      </w:rPr>
    </w:lvl>
    <w:lvl w:ilvl="8" w:tplc="F990D5C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943141"/>
    <w:multiLevelType w:val="hybridMultilevel"/>
    <w:tmpl w:val="B1DE09CE"/>
    <w:lvl w:ilvl="0" w:tplc="2B12D3C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30892"/>
    <w:multiLevelType w:val="multilevel"/>
    <w:tmpl w:val="F0D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9D6ECA"/>
    <w:multiLevelType w:val="hybridMultilevel"/>
    <w:tmpl w:val="1F426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A30803"/>
    <w:multiLevelType w:val="hybridMultilevel"/>
    <w:tmpl w:val="24DC5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B12EB"/>
    <w:multiLevelType w:val="hybridMultilevel"/>
    <w:tmpl w:val="0548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E6C93"/>
    <w:multiLevelType w:val="hybridMultilevel"/>
    <w:tmpl w:val="158CEA0C"/>
    <w:lvl w:ilvl="0" w:tplc="0409000F">
      <w:start w:val="1"/>
      <w:numFmt w:val="decimal"/>
      <w:pStyle w:val="GEFPIFBodyTextNumberedPara"/>
      <w:lvlText w:val="%1."/>
      <w:lvlJc w:val="left"/>
      <w:pPr>
        <w:ind w:left="18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21845"/>
    <w:multiLevelType w:val="hybridMultilevel"/>
    <w:tmpl w:val="7326EF3C"/>
    <w:lvl w:ilvl="0" w:tplc="CE1C86B6">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7441B"/>
    <w:multiLevelType w:val="hybridMultilevel"/>
    <w:tmpl w:val="01A0CA9C"/>
    <w:lvl w:ilvl="0" w:tplc="CE1C86B6">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37BA4"/>
    <w:multiLevelType w:val="hybridMultilevel"/>
    <w:tmpl w:val="15A25D6E"/>
    <w:lvl w:ilvl="0" w:tplc="B44A2CC4">
      <w:start w:val="1"/>
      <w:numFmt w:val="bullet"/>
      <w:lvlText w:val="•"/>
      <w:lvlJc w:val="left"/>
      <w:pPr>
        <w:tabs>
          <w:tab w:val="num" w:pos="720"/>
        </w:tabs>
        <w:ind w:left="720" w:hanging="360"/>
      </w:pPr>
      <w:rPr>
        <w:rFonts w:ascii="Times New Roman" w:hAnsi="Times New Roman" w:hint="default"/>
      </w:rPr>
    </w:lvl>
    <w:lvl w:ilvl="1" w:tplc="BA8CFDAA" w:tentative="1">
      <w:start w:val="1"/>
      <w:numFmt w:val="bullet"/>
      <w:lvlText w:val="•"/>
      <w:lvlJc w:val="left"/>
      <w:pPr>
        <w:tabs>
          <w:tab w:val="num" w:pos="1440"/>
        </w:tabs>
        <w:ind w:left="1440" w:hanging="360"/>
      </w:pPr>
      <w:rPr>
        <w:rFonts w:ascii="Times New Roman" w:hAnsi="Times New Roman" w:hint="default"/>
      </w:rPr>
    </w:lvl>
    <w:lvl w:ilvl="2" w:tplc="F028B2E6" w:tentative="1">
      <w:start w:val="1"/>
      <w:numFmt w:val="bullet"/>
      <w:lvlText w:val="•"/>
      <w:lvlJc w:val="left"/>
      <w:pPr>
        <w:tabs>
          <w:tab w:val="num" w:pos="2160"/>
        </w:tabs>
        <w:ind w:left="2160" w:hanging="360"/>
      </w:pPr>
      <w:rPr>
        <w:rFonts w:ascii="Times New Roman" w:hAnsi="Times New Roman" w:hint="default"/>
      </w:rPr>
    </w:lvl>
    <w:lvl w:ilvl="3" w:tplc="8DD250C4" w:tentative="1">
      <w:start w:val="1"/>
      <w:numFmt w:val="bullet"/>
      <w:lvlText w:val="•"/>
      <w:lvlJc w:val="left"/>
      <w:pPr>
        <w:tabs>
          <w:tab w:val="num" w:pos="2880"/>
        </w:tabs>
        <w:ind w:left="2880" w:hanging="360"/>
      </w:pPr>
      <w:rPr>
        <w:rFonts w:ascii="Times New Roman" w:hAnsi="Times New Roman" w:hint="default"/>
      </w:rPr>
    </w:lvl>
    <w:lvl w:ilvl="4" w:tplc="C548CE24" w:tentative="1">
      <w:start w:val="1"/>
      <w:numFmt w:val="bullet"/>
      <w:lvlText w:val="•"/>
      <w:lvlJc w:val="left"/>
      <w:pPr>
        <w:tabs>
          <w:tab w:val="num" w:pos="3600"/>
        </w:tabs>
        <w:ind w:left="3600" w:hanging="360"/>
      </w:pPr>
      <w:rPr>
        <w:rFonts w:ascii="Times New Roman" w:hAnsi="Times New Roman" w:hint="default"/>
      </w:rPr>
    </w:lvl>
    <w:lvl w:ilvl="5" w:tplc="BD76E19C" w:tentative="1">
      <w:start w:val="1"/>
      <w:numFmt w:val="bullet"/>
      <w:lvlText w:val="•"/>
      <w:lvlJc w:val="left"/>
      <w:pPr>
        <w:tabs>
          <w:tab w:val="num" w:pos="4320"/>
        </w:tabs>
        <w:ind w:left="4320" w:hanging="360"/>
      </w:pPr>
      <w:rPr>
        <w:rFonts w:ascii="Times New Roman" w:hAnsi="Times New Roman" w:hint="default"/>
      </w:rPr>
    </w:lvl>
    <w:lvl w:ilvl="6" w:tplc="A928D7DC" w:tentative="1">
      <w:start w:val="1"/>
      <w:numFmt w:val="bullet"/>
      <w:lvlText w:val="•"/>
      <w:lvlJc w:val="left"/>
      <w:pPr>
        <w:tabs>
          <w:tab w:val="num" w:pos="5040"/>
        </w:tabs>
        <w:ind w:left="5040" w:hanging="360"/>
      </w:pPr>
      <w:rPr>
        <w:rFonts w:ascii="Times New Roman" w:hAnsi="Times New Roman" w:hint="default"/>
      </w:rPr>
    </w:lvl>
    <w:lvl w:ilvl="7" w:tplc="C0BA51BE" w:tentative="1">
      <w:start w:val="1"/>
      <w:numFmt w:val="bullet"/>
      <w:lvlText w:val="•"/>
      <w:lvlJc w:val="left"/>
      <w:pPr>
        <w:tabs>
          <w:tab w:val="num" w:pos="5760"/>
        </w:tabs>
        <w:ind w:left="5760" w:hanging="360"/>
      </w:pPr>
      <w:rPr>
        <w:rFonts w:ascii="Times New Roman" w:hAnsi="Times New Roman" w:hint="default"/>
      </w:rPr>
    </w:lvl>
    <w:lvl w:ilvl="8" w:tplc="6892479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61E6387"/>
    <w:multiLevelType w:val="hybridMultilevel"/>
    <w:tmpl w:val="0BD093EA"/>
    <w:lvl w:ilvl="0" w:tplc="4FBA0362">
      <w:start w:val="1"/>
      <w:numFmt w:val="decimal"/>
      <w:lvlText w:val="%1."/>
      <w:lvlJc w:val="left"/>
      <w:pPr>
        <w:tabs>
          <w:tab w:val="num" w:pos="360"/>
        </w:tabs>
        <w:ind w:left="360" w:hanging="360"/>
      </w:pPr>
      <w:rPr>
        <w:rFonts w:ascii="Arial Bold" w:hAnsi="Arial Bold"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9047E00"/>
    <w:multiLevelType w:val="hybridMultilevel"/>
    <w:tmpl w:val="2BC0BC82"/>
    <w:lvl w:ilvl="0" w:tplc="64A206BE">
      <w:start w:val="1"/>
      <w:numFmt w:val="bullet"/>
      <w:lvlText w:val="•"/>
      <w:lvlJc w:val="left"/>
      <w:pPr>
        <w:tabs>
          <w:tab w:val="num" w:pos="720"/>
        </w:tabs>
        <w:ind w:left="720" w:hanging="360"/>
      </w:pPr>
      <w:rPr>
        <w:rFonts w:ascii="Times New Roman" w:hAnsi="Times New Roman" w:hint="default"/>
      </w:rPr>
    </w:lvl>
    <w:lvl w:ilvl="1" w:tplc="EBD4D15A" w:tentative="1">
      <w:start w:val="1"/>
      <w:numFmt w:val="bullet"/>
      <w:lvlText w:val="•"/>
      <w:lvlJc w:val="left"/>
      <w:pPr>
        <w:tabs>
          <w:tab w:val="num" w:pos="1440"/>
        </w:tabs>
        <w:ind w:left="1440" w:hanging="360"/>
      </w:pPr>
      <w:rPr>
        <w:rFonts w:ascii="Times New Roman" w:hAnsi="Times New Roman" w:hint="default"/>
      </w:rPr>
    </w:lvl>
    <w:lvl w:ilvl="2" w:tplc="EB28F59E" w:tentative="1">
      <w:start w:val="1"/>
      <w:numFmt w:val="bullet"/>
      <w:lvlText w:val="•"/>
      <w:lvlJc w:val="left"/>
      <w:pPr>
        <w:tabs>
          <w:tab w:val="num" w:pos="2160"/>
        </w:tabs>
        <w:ind w:left="2160" w:hanging="360"/>
      </w:pPr>
      <w:rPr>
        <w:rFonts w:ascii="Times New Roman" w:hAnsi="Times New Roman" w:hint="default"/>
      </w:rPr>
    </w:lvl>
    <w:lvl w:ilvl="3" w:tplc="5454B38A" w:tentative="1">
      <w:start w:val="1"/>
      <w:numFmt w:val="bullet"/>
      <w:lvlText w:val="•"/>
      <w:lvlJc w:val="left"/>
      <w:pPr>
        <w:tabs>
          <w:tab w:val="num" w:pos="2880"/>
        </w:tabs>
        <w:ind w:left="2880" w:hanging="360"/>
      </w:pPr>
      <w:rPr>
        <w:rFonts w:ascii="Times New Roman" w:hAnsi="Times New Roman" w:hint="default"/>
      </w:rPr>
    </w:lvl>
    <w:lvl w:ilvl="4" w:tplc="3740E334" w:tentative="1">
      <w:start w:val="1"/>
      <w:numFmt w:val="bullet"/>
      <w:lvlText w:val="•"/>
      <w:lvlJc w:val="left"/>
      <w:pPr>
        <w:tabs>
          <w:tab w:val="num" w:pos="3600"/>
        </w:tabs>
        <w:ind w:left="3600" w:hanging="360"/>
      </w:pPr>
      <w:rPr>
        <w:rFonts w:ascii="Times New Roman" w:hAnsi="Times New Roman" w:hint="default"/>
      </w:rPr>
    </w:lvl>
    <w:lvl w:ilvl="5" w:tplc="FA5ADFA8" w:tentative="1">
      <w:start w:val="1"/>
      <w:numFmt w:val="bullet"/>
      <w:lvlText w:val="•"/>
      <w:lvlJc w:val="left"/>
      <w:pPr>
        <w:tabs>
          <w:tab w:val="num" w:pos="4320"/>
        </w:tabs>
        <w:ind w:left="4320" w:hanging="360"/>
      </w:pPr>
      <w:rPr>
        <w:rFonts w:ascii="Times New Roman" w:hAnsi="Times New Roman" w:hint="default"/>
      </w:rPr>
    </w:lvl>
    <w:lvl w:ilvl="6" w:tplc="B1C68258" w:tentative="1">
      <w:start w:val="1"/>
      <w:numFmt w:val="bullet"/>
      <w:lvlText w:val="•"/>
      <w:lvlJc w:val="left"/>
      <w:pPr>
        <w:tabs>
          <w:tab w:val="num" w:pos="5040"/>
        </w:tabs>
        <w:ind w:left="5040" w:hanging="360"/>
      </w:pPr>
      <w:rPr>
        <w:rFonts w:ascii="Times New Roman" w:hAnsi="Times New Roman" w:hint="default"/>
      </w:rPr>
    </w:lvl>
    <w:lvl w:ilvl="7" w:tplc="D21CFCEC" w:tentative="1">
      <w:start w:val="1"/>
      <w:numFmt w:val="bullet"/>
      <w:lvlText w:val="•"/>
      <w:lvlJc w:val="left"/>
      <w:pPr>
        <w:tabs>
          <w:tab w:val="num" w:pos="5760"/>
        </w:tabs>
        <w:ind w:left="5760" w:hanging="360"/>
      </w:pPr>
      <w:rPr>
        <w:rFonts w:ascii="Times New Roman" w:hAnsi="Times New Roman" w:hint="default"/>
      </w:rPr>
    </w:lvl>
    <w:lvl w:ilvl="8" w:tplc="710A1B0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C746304"/>
    <w:multiLevelType w:val="hybridMultilevel"/>
    <w:tmpl w:val="936C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80B64"/>
    <w:multiLevelType w:val="hybridMultilevel"/>
    <w:tmpl w:val="4E14B6A8"/>
    <w:lvl w:ilvl="0" w:tplc="CE1C86B6">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50060"/>
    <w:multiLevelType w:val="hybridMultilevel"/>
    <w:tmpl w:val="FCF03D10"/>
    <w:lvl w:ilvl="0" w:tplc="1A14EBAE">
      <w:start w:val="1"/>
      <w:numFmt w:val="bullet"/>
      <w:lvlText w:val="•"/>
      <w:lvlJc w:val="left"/>
      <w:pPr>
        <w:tabs>
          <w:tab w:val="num" w:pos="720"/>
        </w:tabs>
        <w:ind w:left="720" w:hanging="360"/>
      </w:pPr>
      <w:rPr>
        <w:rFonts w:ascii="Times New Roman" w:hAnsi="Times New Roman" w:hint="default"/>
      </w:rPr>
    </w:lvl>
    <w:lvl w:ilvl="1" w:tplc="F51CD538" w:tentative="1">
      <w:start w:val="1"/>
      <w:numFmt w:val="bullet"/>
      <w:lvlText w:val="•"/>
      <w:lvlJc w:val="left"/>
      <w:pPr>
        <w:tabs>
          <w:tab w:val="num" w:pos="1440"/>
        </w:tabs>
        <w:ind w:left="1440" w:hanging="360"/>
      </w:pPr>
      <w:rPr>
        <w:rFonts w:ascii="Times New Roman" w:hAnsi="Times New Roman" w:hint="default"/>
      </w:rPr>
    </w:lvl>
    <w:lvl w:ilvl="2" w:tplc="66E8715C" w:tentative="1">
      <w:start w:val="1"/>
      <w:numFmt w:val="bullet"/>
      <w:lvlText w:val="•"/>
      <w:lvlJc w:val="left"/>
      <w:pPr>
        <w:tabs>
          <w:tab w:val="num" w:pos="2160"/>
        </w:tabs>
        <w:ind w:left="2160" w:hanging="360"/>
      </w:pPr>
      <w:rPr>
        <w:rFonts w:ascii="Times New Roman" w:hAnsi="Times New Roman" w:hint="default"/>
      </w:rPr>
    </w:lvl>
    <w:lvl w:ilvl="3" w:tplc="544EC47E" w:tentative="1">
      <w:start w:val="1"/>
      <w:numFmt w:val="bullet"/>
      <w:lvlText w:val="•"/>
      <w:lvlJc w:val="left"/>
      <w:pPr>
        <w:tabs>
          <w:tab w:val="num" w:pos="2880"/>
        </w:tabs>
        <w:ind w:left="2880" w:hanging="360"/>
      </w:pPr>
      <w:rPr>
        <w:rFonts w:ascii="Times New Roman" w:hAnsi="Times New Roman" w:hint="default"/>
      </w:rPr>
    </w:lvl>
    <w:lvl w:ilvl="4" w:tplc="C9D6B4E2" w:tentative="1">
      <w:start w:val="1"/>
      <w:numFmt w:val="bullet"/>
      <w:lvlText w:val="•"/>
      <w:lvlJc w:val="left"/>
      <w:pPr>
        <w:tabs>
          <w:tab w:val="num" w:pos="3600"/>
        </w:tabs>
        <w:ind w:left="3600" w:hanging="360"/>
      </w:pPr>
      <w:rPr>
        <w:rFonts w:ascii="Times New Roman" w:hAnsi="Times New Roman" w:hint="default"/>
      </w:rPr>
    </w:lvl>
    <w:lvl w:ilvl="5" w:tplc="DBEC7C34" w:tentative="1">
      <w:start w:val="1"/>
      <w:numFmt w:val="bullet"/>
      <w:lvlText w:val="•"/>
      <w:lvlJc w:val="left"/>
      <w:pPr>
        <w:tabs>
          <w:tab w:val="num" w:pos="4320"/>
        </w:tabs>
        <w:ind w:left="4320" w:hanging="360"/>
      </w:pPr>
      <w:rPr>
        <w:rFonts w:ascii="Times New Roman" w:hAnsi="Times New Roman" w:hint="default"/>
      </w:rPr>
    </w:lvl>
    <w:lvl w:ilvl="6" w:tplc="5992ADC0" w:tentative="1">
      <w:start w:val="1"/>
      <w:numFmt w:val="bullet"/>
      <w:lvlText w:val="•"/>
      <w:lvlJc w:val="left"/>
      <w:pPr>
        <w:tabs>
          <w:tab w:val="num" w:pos="5040"/>
        </w:tabs>
        <w:ind w:left="5040" w:hanging="360"/>
      </w:pPr>
      <w:rPr>
        <w:rFonts w:ascii="Times New Roman" w:hAnsi="Times New Roman" w:hint="default"/>
      </w:rPr>
    </w:lvl>
    <w:lvl w:ilvl="7" w:tplc="429EF91C" w:tentative="1">
      <w:start w:val="1"/>
      <w:numFmt w:val="bullet"/>
      <w:lvlText w:val="•"/>
      <w:lvlJc w:val="left"/>
      <w:pPr>
        <w:tabs>
          <w:tab w:val="num" w:pos="5760"/>
        </w:tabs>
        <w:ind w:left="5760" w:hanging="360"/>
      </w:pPr>
      <w:rPr>
        <w:rFonts w:ascii="Times New Roman" w:hAnsi="Times New Roman" w:hint="default"/>
      </w:rPr>
    </w:lvl>
    <w:lvl w:ilvl="8" w:tplc="2A905F6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0E020EB"/>
    <w:multiLevelType w:val="hybridMultilevel"/>
    <w:tmpl w:val="439C3530"/>
    <w:lvl w:ilvl="0" w:tplc="034E1A0A">
      <w:start w:val="1"/>
      <w:numFmt w:val="bullet"/>
      <w:lvlText w:val="•"/>
      <w:lvlJc w:val="left"/>
      <w:pPr>
        <w:tabs>
          <w:tab w:val="num" w:pos="720"/>
        </w:tabs>
        <w:ind w:left="720" w:hanging="360"/>
      </w:pPr>
      <w:rPr>
        <w:rFonts w:ascii="Times New Roman" w:hAnsi="Times New Roman" w:hint="default"/>
      </w:rPr>
    </w:lvl>
    <w:lvl w:ilvl="1" w:tplc="5636B7B6" w:tentative="1">
      <w:start w:val="1"/>
      <w:numFmt w:val="bullet"/>
      <w:lvlText w:val="•"/>
      <w:lvlJc w:val="left"/>
      <w:pPr>
        <w:tabs>
          <w:tab w:val="num" w:pos="1440"/>
        </w:tabs>
        <w:ind w:left="1440" w:hanging="360"/>
      </w:pPr>
      <w:rPr>
        <w:rFonts w:ascii="Times New Roman" w:hAnsi="Times New Roman" w:hint="default"/>
      </w:rPr>
    </w:lvl>
    <w:lvl w:ilvl="2" w:tplc="2E9C5E02" w:tentative="1">
      <w:start w:val="1"/>
      <w:numFmt w:val="bullet"/>
      <w:lvlText w:val="•"/>
      <w:lvlJc w:val="left"/>
      <w:pPr>
        <w:tabs>
          <w:tab w:val="num" w:pos="2160"/>
        </w:tabs>
        <w:ind w:left="2160" w:hanging="360"/>
      </w:pPr>
      <w:rPr>
        <w:rFonts w:ascii="Times New Roman" w:hAnsi="Times New Roman" w:hint="default"/>
      </w:rPr>
    </w:lvl>
    <w:lvl w:ilvl="3" w:tplc="E0E67B6A" w:tentative="1">
      <w:start w:val="1"/>
      <w:numFmt w:val="bullet"/>
      <w:lvlText w:val="•"/>
      <w:lvlJc w:val="left"/>
      <w:pPr>
        <w:tabs>
          <w:tab w:val="num" w:pos="2880"/>
        </w:tabs>
        <w:ind w:left="2880" w:hanging="360"/>
      </w:pPr>
      <w:rPr>
        <w:rFonts w:ascii="Times New Roman" w:hAnsi="Times New Roman" w:hint="default"/>
      </w:rPr>
    </w:lvl>
    <w:lvl w:ilvl="4" w:tplc="34F4F8FA" w:tentative="1">
      <w:start w:val="1"/>
      <w:numFmt w:val="bullet"/>
      <w:lvlText w:val="•"/>
      <w:lvlJc w:val="left"/>
      <w:pPr>
        <w:tabs>
          <w:tab w:val="num" w:pos="3600"/>
        </w:tabs>
        <w:ind w:left="3600" w:hanging="360"/>
      </w:pPr>
      <w:rPr>
        <w:rFonts w:ascii="Times New Roman" w:hAnsi="Times New Roman" w:hint="default"/>
      </w:rPr>
    </w:lvl>
    <w:lvl w:ilvl="5" w:tplc="2A60F4F0" w:tentative="1">
      <w:start w:val="1"/>
      <w:numFmt w:val="bullet"/>
      <w:lvlText w:val="•"/>
      <w:lvlJc w:val="left"/>
      <w:pPr>
        <w:tabs>
          <w:tab w:val="num" w:pos="4320"/>
        </w:tabs>
        <w:ind w:left="4320" w:hanging="360"/>
      </w:pPr>
      <w:rPr>
        <w:rFonts w:ascii="Times New Roman" w:hAnsi="Times New Roman" w:hint="default"/>
      </w:rPr>
    </w:lvl>
    <w:lvl w:ilvl="6" w:tplc="44AA79B8" w:tentative="1">
      <w:start w:val="1"/>
      <w:numFmt w:val="bullet"/>
      <w:lvlText w:val="•"/>
      <w:lvlJc w:val="left"/>
      <w:pPr>
        <w:tabs>
          <w:tab w:val="num" w:pos="5040"/>
        </w:tabs>
        <w:ind w:left="5040" w:hanging="360"/>
      </w:pPr>
      <w:rPr>
        <w:rFonts w:ascii="Times New Roman" w:hAnsi="Times New Roman" w:hint="default"/>
      </w:rPr>
    </w:lvl>
    <w:lvl w:ilvl="7" w:tplc="0A743E9A" w:tentative="1">
      <w:start w:val="1"/>
      <w:numFmt w:val="bullet"/>
      <w:lvlText w:val="•"/>
      <w:lvlJc w:val="left"/>
      <w:pPr>
        <w:tabs>
          <w:tab w:val="num" w:pos="5760"/>
        </w:tabs>
        <w:ind w:left="5760" w:hanging="360"/>
      </w:pPr>
      <w:rPr>
        <w:rFonts w:ascii="Times New Roman" w:hAnsi="Times New Roman" w:hint="default"/>
      </w:rPr>
    </w:lvl>
    <w:lvl w:ilvl="8" w:tplc="1A4678F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6EA503A"/>
    <w:multiLevelType w:val="hybridMultilevel"/>
    <w:tmpl w:val="F9AA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27259"/>
    <w:multiLevelType w:val="hybridMultilevel"/>
    <w:tmpl w:val="0C96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07EF5"/>
    <w:multiLevelType w:val="hybridMultilevel"/>
    <w:tmpl w:val="A30EFC18"/>
    <w:lvl w:ilvl="0" w:tplc="BBF6855C">
      <w:start w:val="1"/>
      <w:numFmt w:val="bullet"/>
      <w:lvlText w:val="•"/>
      <w:lvlJc w:val="left"/>
      <w:pPr>
        <w:tabs>
          <w:tab w:val="num" w:pos="720"/>
        </w:tabs>
        <w:ind w:left="720" w:hanging="360"/>
      </w:pPr>
      <w:rPr>
        <w:rFonts w:ascii="Times New Roman" w:hAnsi="Times New Roman" w:hint="default"/>
      </w:rPr>
    </w:lvl>
    <w:lvl w:ilvl="1" w:tplc="B1CEDC98" w:tentative="1">
      <w:start w:val="1"/>
      <w:numFmt w:val="bullet"/>
      <w:lvlText w:val="•"/>
      <w:lvlJc w:val="left"/>
      <w:pPr>
        <w:tabs>
          <w:tab w:val="num" w:pos="1440"/>
        </w:tabs>
        <w:ind w:left="1440" w:hanging="360"/>
      </w:pPr>
      <w:rPr>
        <w:rFonts w:ascii="Times New Roman" w:hAnsi="Times New Roman" w:hint="default"/>
      </w:rPr>
    </w:lvl>
    <w:lvl w:ilvl="2" w:tplc="2D36B6C2" w:tentative="1">
      <w:start w:val="1"/>
      <w:numFmt w:val="bullet"/>
      <w:lvlText w:val="•"/>
      <w:lvlJc w:val="left"/>
      <w:pPr>
        <w:tabs>
          <w:tab w:val="num" w:pos="2160"/>
        </w:tabs>
        <w:ind w:left="2160" w:hanging="360"/>
      </w:pPr>
      <w:rPr>
        <w:rFonts w:ascii="Times New Roman" w:hAnsi="Times New Roman" w:hint="default"/>
      </w:rPr>
    </w:lvl>
    <w:lvl w:ilvl="3" w:tplc="C4C2CB44" w:tentative="1">
      <w:start w:val="1"/>
      <w:numFmt w:val="bullet"/>
      <w:lvlText w:val="•"/>
      <w:lvlJc w:val="left"/>
      <w:pPr>
        <w:tabs>
          <w:tab w:val="num" w:pos="2880"/>
        </w:tabs>
        <w:ind w:left="2880" w:hanging="360"/>
      </w:pPr>
      <w:rPr>
        <w:rFonts w:ascii="Times New Roman" w:hAnsi="Times New Roman" w:hint="default"/>
      </w:rPr>
    </w:lvl>
    <w:lvl w:ilvl="4" w:tplc="A018593A" w:tentative="1">
      <w:start w:val="1"/>
      <w:numFmt w:val="bullet"/>
      <w:lvlText w:val="•"/>
      <w:lvlJc w:val="left"/>
      <w:pPr>
        <w:tabs>
          <w:tab w:val="num" w:pos="3600"/>
        </w:tabs>
        <w:ind w:left="3600" w:hanging="360"/>
      </w:pPr>
      <w:rPr>
        <w:rFonts w:ascii="Times New Roman" w:hAnsi="Times New Roman" w:hint="default"/>
      </w:rPr>
    </w:lvl>
    <w:lvl w:ilvl="5" w:tplc="6964A72A" w:tentative="1">
      <w:start w:val="1"/>
      <w:numFmt w:val="bullet"/>
      <w:lvlText w:val="•"/>
      <w:lvlJc w:val="left"/>
      <w:pPr>
        <w:tabs>
          <w:tab w:val="num" w:pos="4320"/>
        </w:tabs>
        <w:ind w:left="4320" w:hanging="360"/>
      </w:pPr>
      <w:rPr>
        <w:rFonts w:ascii="Times New Roman" w:hAnsi="Times New Roman" w:hint="default"/>
      </w:rPr>
    </w:lvl>
    <w:lvl w:ilvl="6" w:tplc="701EA4B2" w:tentative="1">
      <w:start w:val="1"/>
      <w:numFmt w:val="bullet"/>
      <w:lvlText w:val="•"/>
      <w:lvlJc w:val="left"/>
      <w:pPr>
        <w:tabs>
          <w:tab w:val="num" w:pos="5040"/>
        </w:tabs>
        <w:ind w:left="5040" w:hanging="360"/>
      </w:pPr>
      <w:rPr>
        <w:rFonts w:ascii="Times New Roman" w:hAnsi="Times New Roman" w:hint="default"/>
      </w:rPr>
    </w:lvl>
    <w:lvl w:ilvl="7" w:tplc="E9A60740" w:tentative="1">
      <w:start w:val="1"/>
      <w:numFmt w:val="bullet"/>
      <w:lvlText w:val="•"/>
      <w:lvlJc w:val="left"/>
      <w:pPr>
        <w:tabs>
          <w:tab w:val="num" w:pos="5760"/>
        </w:tabs>
        <w:ind w:left="5760" w:hanging="360"/>
      </w:pPr>
      <w:rPr>
        <w:rFonts w:ascii="Times New Roman" w:hAnsi="Times New Roman" w:hint="default"/>
      </w:rPr>
    </w:lvl>
    <w:lvl w:ilvl="8" w:tplc="93769E1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9F573CD"/>
    <w:multiLevelType w:val="hybridMultilevel"/>
    <w:tmpl w:val="9E8E4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61656"/>
    <w:multiLevelType w:val="hybridMultilevel"/>
    <w:tmpl w:val="298C4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B0249"/>
    <w:multiLevelType w:val="hybridMultilevel"/>
    <w:tmpl w:val="C2A2671A"/>
    <w:lvl w:ilvl="0" w:tplc="EDBE2F30">
      <w:start w:val="1"/>
      <w:numFmt w:val="bullet"/>
      <w:lvlText w:val="•"/>
      <w:lvlJc w:val="left"/>
      <w:pPr>
        <w:tabs>
          <w:tab w:val="num" w:pos="720"/>
        </w:tabs>
        <w:ind w:left="720" w:hanging="360"/>
      </w:pPr>
      <w:rPr>
        <w:rFonts w:ascii="Times New Roman" w:hAnsi="Times New Roman" w:hint="default"/>
      </w:rPr>
    </w:lvl>
    <w:lvl w:ilvl="1" w:tplc="C70A5234" w:tentative="1">
      <w:start w:val="1"/>
      <w:numFmt w:val="bullet"/>
      <w:lvlText w:val="•"/>
      <w:lvlJc w:val="left"/>
      <w:pPr>
        <w:tabs>
          <w:tab w:val="num" w:pos="1440"/>
        </w:tabs>
        <w:ind w:left="1440" w:hanging="360"/>
      </w:pPr>
      <w:rPr>
        <w:rFonts w:ascii="Times New Roman" w:hAnsi="Times New Roman" w:hint="default"/>
      </w:rPr>
    </w:lvl>
    <w:lvl w:ilvl="2" w:tplc="0AFA5812" w:tentative="1">
      <w:start w:val="1"/>
      <w:numFmt w:val="bullet"/>
      <w:lvlText w:val="•"/>
      <w:lvlJc w:val="left"/>
      <w:pPr>
        <w:tabs>
          <w:tab w:val="num" w:pos="2160"/>
        </w:tabs>
        <w:ind w:left="2160" w:hanging="360"/>
      </w:pPr>
      <w:rPr>
        <w:rFonts w:ascii="Times New Roman" w:hAnsi="Times New Roman" w:hint="default"/>
      </w:rPr>
    </w:lvl>
    <w:lvl w:ilvl="3" w:tplc="40F2EE3E" w:tentative="1">
      <w:start w:val="1"/>
      <w:numFmt w:val="bullet"/>
      <w:lvlText w:val="•"/>
      <w:lvlJc w:val="left"/>
      <w:pPr>
        <w:tabs>
          <w:tab w:val="num" w:pos="2880"/>
        </w:tabs>
        <w:ind w:left="2880" w:hanging="360"/>
      </w:pPr>
      <w:rPr>
        <w:rFonts w:ascii="Times New Roman" w:hAnsi="Times New Roman" w:hint="default"/>
      </w:rPr>
    </w:lvl>
    <w:lvl w:ilvl="4" w:tplc="70E2FA94" w:tentative="1">
      <w:start w:val="1"/>
      <w:numFmt w:val="bullet"/>
      <w:lvlText w:val="•"/>
      <w:lvlJc w:val="left"/>
      <w:pPr>
        <w:tabs>
          <w:tab w:val="num" w:pos="3600"/>
        </w:tabs>
        <w:ind w:left="3600" w:hanging="360"/>
      </w:pPr>
      <w:rPr>
        <w:rFonts w:ascii="Times New Roman" w:hAnsi="Times New Roman" w:hint="default"/>
      </w:rPr>
    </w:lvl>
    <w:lvl w:ilvl="5" w:tplc="ABF2D4CA" w:tentative="1">
      <w:start w:val="1"/>
      <w:numFmt w:val="bullet"/>
      <w:lvlText w:val="•"/>
      <w:lvlJc w:val="left"/>
      <w:pPr>
        <w:tabs>
          <w:tab w:val="num" w:pos="4320"/>
        </w:tabs>
        <w:ind w:left="4320" w:hanging="360"/>
      </w:pPr>
      <w:rPr>
        <w:rFonts w:ascii="Times New Roman" w:hAnsi="Times New Roman" w:hint="default"/>
      </w:rPr>
    </w:lvl>
    <w:lvl w:ilvl="6" w:tplc="C85CEB48" w:tentative="1">
      <w:start w:val="1"/>
      <w:numFmt w:val="bullet"/>
      <w:lvlText w:val="•"/>
      <w:lvlJc w:val="left"/>
      <w:pPr>
        <w:tabs>
          <w:tab w:val="num" w:pos="5040"/>
        </w:tabs>
        <w:ind w:left="5040" w:hanging="360"/>
      </w:pPr>
      <w:rPr>
        <w:rFonts w:ascii="Times New Roman" w:hAnsi="Times New Roman" w:hint="default"/>
      </w:rPr>
    </w:lvl>
    <w:lvl w:ilvl="7" w:tplc="B5E23D4A" w:tentative="1">
      <w:start w:val="1"/>
      <w:numFmt w:val="bullet"/>
      <w:lvlText w:val="•"/>
      <w:lvlJc w:val="left"/>
      <w:pPr>
        <w:tabs>
          <w:tab w:val="num" w:pos="5760"/>
        </w:tabs>
        <w:ind w:left="5760" w:hanging="360"/>
      </w:pPr>
      <w:rPr>
        <w:rFonts w:ascii="Times New Roman" w:hAnsi="Times New Roman" w:hint="default"/>
      </w:rPr>
    </w:lvl>
    <w:lvl w:ilvl="8" w:tplc="8DCAE5B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392124E"/>
    <w:multiLevelType w:val="hybridMultilevel"/>
    <w:tmpl w:val="A1F493E2"/>
    <w:lvl w:ilvl="0" w:tplc="4EAEE784">
      <w:start w:val="1"/>
      <w:numFmt w:val="bullet"/>
      <w:lvlText w:val="•"/>
      <w:lvlJc w:val="left"/>
      <w:pPr>
        <w:tabs>
          <w:tab w:val="num" w:pos="720"/>
        </w:tabs>
        <w:ind w:left="720" w:hanging="360"/>
      </w:pPr>
      <w:rPr>
        <w:rFonts w:ascii="Times New Roman" w:hAnsi="Times New Roman" w:hint="default"/>
      </w:rPr>
    </w:lvl>
    <w:lvl w:ilvl="1" w:tplc="67F6A39E" w:tentative="1">
      <w:start w:val="1"/>
      <w:numFmt w:val="bullet"/>
      <w:lvlText w:val="•"/>
      <w:lvlJc w:val="left"/>
      <w:pPr>
        <w:tabs>
          <w:tab w:val="num" w:pos="1440"/>
        </w:tabs>
        <w:ind w:left="1440" w:hanging="360"/>
      </w:pPr>
      <w:rPr>
        <w:rFonts w:ascii="Times New Roman" w:hAnsi="Times New Roman" w:hint="default"/>
      </w:rPr>
    </w:lvl>
    <w:lvl w:ilvl="2" w:tplc="7748A808" w:tentative="1">
      <w:start w:val="1"/>
      <w:numFmt w:val="bullet"/>
      <w:lvlText w:val="•"/>
      <w:lvlJc w:val="left"/>
      <w:pPr>
        <w:tabs>
          <w:tab w:val="num" w:pos="2160"/>
        </w:tabs>
        <w:ind w:left="2160" w:hanging="360"/>
      </w:pPr>
      <w:rPr>
        <w:rFonts w:ascii="Times New Roman" w:hAnsi="Times New Roman" w:hint="default"/>
      </w:rPr>
    </w:lvl>
    <w:lvl w:ilvl="3" w:tplc="B3CAC1FA" w:tentative="1">
      <w:start w:val="1"/>
      <w:numFmt w:val="bullet"/>
      <w:lvlText w:val="•"/>
      <w:lvlJc w:val="left"/>
      <w:pPr>
        <w:tabs>
          <w:tab w:val="num" w:pos="2880"/>
        </w:tabs>
        <w:ind w:left="2880" w:hanging="360"/>
      </w:pPr>
      <w:rPr>
        <w:rFonts w:ascii="Times New Roman" w:hAnsi="Times New Roman" w:hint="default"/>
      </w:rPr>
    </w:lvl>
    <w:lvl w:ilvl="4" w:tplc="504AA40A" w:tentative="1">
      <w:start w:val="1"/>
      <w:numFmt w:val="bullet"/>
      <w:lvlText w:val="•"/>
      <w:lvlJc w:val="left"/>
      <w:pPr>
        <w:tabs>
          <w:tab w:val="num" w:pos="3600"/>
        </w:tabs>
        <w:ind w:left="3600" w:hanging="360"/>
      </w:pPr>
      <w:rPr>
        <w:rFonts w:ascii="Times New Roman" w:hAnsi="Times New Roman" w:hint="default"/>
      </w:rPr>
    </w:lvl>
    <w:lvl w:ilvl="5" w:tplc="82F67F2E" w:tentative="1">
      <w:start w:val="1"/>
      <w:numFmt w:val="bullet"/>
      <w:lvlText w:val="•"/>
      <w:lvlJc w:val="left"/>
      <w:pPr>
        <w:tabs>
          <w:tab w:val="num" w:pos="4320"/>
        </w:tabs>
        <w:ind w:left="4320" w:hanging="360"/>
      </w:pPr>
      <w:rPr>
        <w:rFonts w:ascii="Times New Roman" w:hAnsi="Times New Roman" w:hint="default"/>
      </w:rPr>
    </w:lvl>
    <w:lvl w:ilvl="6" w:tplc="AD566CC4" w:tentative="1">
      <w:start w:val="1"/>
      <w:numFmt w:val="bullet"/>
      <w:lvlText w:val="•"/>
      <w:lvlJc w:val="left"/>
      <w:pPr>
        <w:tabs>
          <w:tab w:val="num" w:pos="5040"/>
        </w:tabs>
        <w:ind w:left="5040" w:hanging="360"/>
      </w:pPr>
      <w:rPr>
        <w:rFonts w:ascii="Times New Roman" w:hAnsi="Times New Roman" w:hint="default"/>
      </w:rPr>
    </w:lvl>
    <w:lvl w:ilvl="7" w:tplc="1668ED4C" w:tentative="1">
      <w:start w:val="1"/>
      <w:numFmt w:val="bullet"/>
      <w:lvlText w:val="•"/>
      <w:lvlJc w:val="left"/>
      <w:pPr>
        <w:tabs>
          <w:tab w:val="num" w:pos="5760"/>
        </w:tabs>
        <w:ind w:left="5760" w:hanging="360"/>
      </w:pPr>
      <w:rPr>
        <w:rFonts w:ascii="Times New Roman" w:hAnsi="Times New Roman" w:hint="default"/>
      </w:rPr>
    </w:lvl>
    <w:lvl w:ilvl="8" w:tplc="39EC9FD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4637328"/>
    <w:multiLevelType w:val="hybridMultilevel"/>
    <w:tmpl w:val="0FE291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51767BC"/>
    <w:multiLevelType w:val="hybridMultilevel"/>
    <w:tmpl w:val="CE368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BC097C"/>
    <w:multiLevelType w:val="hybridMultilevel"/>
    <w:tmpl w:val="55D67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D712AB"/>
    <w:multiLevelType w:val="hybridMultilevel"/>
    <w:tmpl w:val="CA8E58F6"/>
    <w:lvl w:ilvl="0" w:tplc="2C6697AC">
      <w:start w:val="1"/>
      <w:numFmt w:val="bullet"/>
      <w:lvlText w:val="•"/>
      <w:lvlJc w:val="left"/>
      <w:pPr>
        <w:tabs>
          <w:tab w:val="num" w:pos="720"/>
        </w:tabs>
        <w:ind w:left="720" w:hanging="360"/>
      </w:pPr>
      <w:rPr>
        <w:rFonts w:ascii="Times New Roman" w:hAnsi="Times New Roman" w:hint="default"/>
      </w:rPr>
    </w:lvl>
    <w:lvl w:ilvl="1" w:tplc="2FE4A35E" w:tentative="1">
      <w:start w:val="1"/>
      <w:numFmt w:val="bullet"/>
      <w:lvlText w:val="•"/>
      <w:lvlJc w:val="left"/>
      <w:pPr>
        <w:tabs>
          <w:tab w:val="num" w:pos="1440"/>
        </w:tabs>
        <w:ind w:left="1440" w:hanging="360"/>
      </w:pPr>
      <w:rPr>
        <w:rFonts w:ascii="Times New Roman" w:hAnsi="Times New Roman" w:hint="default"/>
      </w:rPr>
    </w:lvl>
    <w:lvl w:ilvl="2" w:tplc="FF921604" w:tentative="1">
      <w:start w:val="1"/>
      <w:numFmt w:val="bullet"/>
      <w:lvlText w:val="•"/>
      <w:lvlJc w:val="left"/>
      <w:pPr>
        <w:tabs>
          <w:tab w:val="num" w:pos="2160"/>
        </w:tabs>
        <w:ind w:left="2160" w:hanging="360"/>
      </w:pPr>
      <w:rPr>
        <w:rFonts w:ascii="Times New Roman" w:hAnsi="Times New Roman" w:hint="default"/>
      </w:rPr>
    </w:lvl>
    <w:lvl w:ilvl="3" w:tplc="F6689282" w:tentative="1">
      <w:start w:val="1"/>
      <w:numFmt w:val="bullet"/>
      <w:lvlText w:val="•"/>
      <w:lvlJc w:val="left"/>
      <w:pPr>
        <w:tabs>
          <w:tab w:val="num" w:pos="2880"/>
        </w:tabs>
        <w:ind w:left="2880" w:hanging="360"/>
      </w:pPr>
      <w:rPr>
        <w:rFonts w:ascii="Times New Roman" w:hAnsi="Times New Roman" w:hint="default"/>
      </w:rPr>
    </w:lvl>
    <w:lvl w:ilvl="4" w:tplc="30AEE4FA" w:tentative="1">
      <w:start w:val="1"/>
      <w:numFmt w:val="bullet"/>
      <w:lvlText w:val="•"/>
      <w:lvlJc w:val="left"/>
      <w:pPr>
        <w:tabs>
          <w:tab w:val="num" w:pos="3600"/>
        </w:tabs>
        <w:ind w:left="3600" w:hanging="360"/>
      </w:pPr>
      <w:rPr>
        <w:rFonts w:ascii="Times New Roman" w:hAnsi="Times New Roman" w:hint="default"/>
      </w:rPr>
    </w:lvl>
    <w:lvl w:ilvl="5" w:tplc="F0881EE8" w:tentative="1">
      <w:start w:val="1"/>
      <w:numFmt w:val="bullet"/>
      <w:lvlText w:val="•"/>
      <w:lvlJc w:val="left"/>
      <w:pPr>
        <w:tabs>
          <w:tab w:val="num" w:pos="4320"/>
        </w:tabs>
        <w:ind w:left="4320" w:hanging="360"/>
      </w:pPr>
      <w:rPr>
        <w:rFonts w:ascii="Times New Roman" w:hAnsi="Times New Roman" w:hint="default"/>
      </w:rPr>
    </w:lvl>
    <w:lvl w:ilvl="6" w:tplc="1FE62840" w:tentative="1">
      <w:start w:val="1"/>
      <w:numFmt w:val="bullet"/>
      <w:lvlText w:val="•"/>
      <w:lvlJc w:val="left"/>
      <w:pPr>
        <w:tabs>
          <w:tab w:val="num" w:pos="5040"/>
        </w:tabs>
        <w:ind w:left="5040" w:hanging="360"/>
      </w:pPr>
      <w:rPr>
        <w:rFonts w:ascii="Times New Roman" w:hAnsi="Times New Roman" w:hint="default"/>
      </w:rPr>
    </w:lvl>
    <w:lvl w:ilvl="7" w:tplc="9070C004" w:tentative="1">
      <w:start w:val="1"/>
      <w:numFmt w:val="bullet"/>
      <w:lvlText w:val="•"/>
      <w:lvlJc w:val="left"/>
      <w:pPr>
        <w:tabs>
          <w:tab w:val="num" w:pos="5760"/>
        </w:tabs>
        <w:ind w:left="5760" w:hanging="360"/>
      </w:pPr>
      <w:rPr>
        <w:rFonts w:ascii="Times New Roman" w:hAnsi="Times New Roman" w:hint="default"/>
      </w:rPr>
    </w:lvl>
    <w:lvl w:ilvl="8" w:tplc="D1C4ED9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D1567B7"/>
    <w:multiLevelType w:val="hybridMultilevel"/>
    <w:tmpl w:val="BCB01BA2"/>
    <w:lvl w:ilvl="0" w:tplc="CE1C86B6">
      <w:numFmt w:val="bullet"/>
      <w:lvlText w:val="-"/>
      <w:lvlJc w:val="left"/>
      <w:pPr>
        <w:ind w:left="720" w:hanging="360"/>
      </w:pPr>
      <w:rPr>
        <w:rFonts w:ascii="Arial" w:eastAsia="Times New Roman" w:hAnsi="Aria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766B04"/>
    <w:multiLevelType w:val="hybridMultilevel"/>
    <w:tmpl w:val="76E2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81467B"/>
    <w:multiLevelType w:val="hybridMultilevel"/>
    <w:tmpl w:val="92F8BE3E"/>
    <w:lvl w:ilvl="0" w:tplc="E3EC9B2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2"/>
  </w:num>
  <w:num w:numId="4">
    <w:abstractNumId w:val="24"/>
  </w:num>
  <w:num w:numId="5">
    <w:abstractNumId w:val="29"/>
  </w:num>
  <w:num w:numId="6">
    <w:abstractNumId w:val="25"/>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21"/>
  </w:num>
  <w:num w:numId="9">
    <w:abstractNumId w:val="17"/>
  </w:num>
  <w:num w:numId="10">
    <w:abstractNumId w:val="6"/>
  </w:num>
  <w:num w:numId="11">
    <w:abstractNumId w:val="15"/>
  </w:num>
  <w:num w:numId="12">
    <w:abstractNumId w:val="11"/>
  </w:num>
  <w:num w:numId="13">
    <w:abstractNumId w:val="1"/>
  </w:num>
  <w:num w:numId="14">
    <w:abstractNumId w:val="32"/>
  </w:num>
  <w:num w:numId="15">
    <w:abstractNumId w:val="18"/>
  </w:num>
  <w:num w:numId="16">
    <w:abstractNumId w:val="3"/>
  </w:num>
  <w:num w:numId="17">
    <w:abstractNumId w:val="13"/>
  </w:num>
  <w:num w:numId="18">
    <w:abstractNumId w:val="12"/>
  </w:num>
  <w:num w:numId="19">
    <w:abstractNumId w:val="7"/>
  </w:num>
  <w:num w:numId="20">
    <w:abstractNumId w:val="14"/>
  </w:num>
  <w:num w:numId="21">
    <w:abstractNumId w:val="8"/>
  </w:num>
  <w:num w:numId="22">
    <w:abstractNumId w:val="27"/>
  </w:num>
  <w:num w:numId="23">
    <w:abstractNumId w:val="16"/>
  </w:num>
  <w:num w:numId="24">
    <w:abstractNumId w:val="34"/>
  </w:num>
  <w:num w:numId="25">
    <w:abstractNumId w:val="33"/>
  </w:num>
  <w:num w:numId="26">
    <w:abstractNumId w:val="22"/>
  </w:num>
  <w:num w:numId="27">
    <w:abstractNumId w:val="28"/>
  </w:num>
  <w:num w:numId="28">
    <w:abstractNumId w:val="19"/>
  </w:num>
  <w:num w:numId="29">
    <w:abstractNumId w:val="4"/>
  </w:num>
  <w:num w:numId="30">
    <w:abstractNumId w:val="23"/>
  </w:num>
  <w:num w:numId="31">
    <w:abstractNumId w:val="31"/>
  </w:num>
  <w:num w:numId="32">
    <w:abstractNumId w:val="5"/>
  </w:num>
  <w:num w:numId="33">
    <w:abstractNumId w:val="20"/>
  </w:num>
  <w:num w:numId="34">
    <w:abstractNumId w:val="2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6A"/>
    <w:rsid w:val="000130AC"/>
    <w:rsid w:val="00021A36"/>
    <w:rsid w:val="0005144C"/>
    <w:rsid w:val="00056E78"/>
    <w:rsid w:val="00071EA1"/>
    <w:rsid w:val="00086FBD"/>
    <w:rsid w:val="00087C06"/>
    <w:rsid w:val="0009415B"/>
    <w:rsid w:val="000B0721"/>
    <w:rsid w:val="000D53ED"/>
    <w:rsid w:val="000D61C7"/>
    <w:rsid w:val="000E5742"/>
    <w:rsid w:val="000E7D40"/>
    <w:rsid w:val="000F62F2"/>
    <w:rsid w:val="001061F4"/>
    <w:rsid w:val="001207A8"/>
    <w:rsid w:val="0012114A"/>
    <w:rsid w:val="00121EBE"/>
    <w:rsid w:val="001345A9"/>
    <w:rsid w:val="0014799B"/>
    <w:rsid w:val="001529E3"/>
    <w:rsid w:val="00160296"/>
    <w:rsid w:val="00174AB3"/>
    <w:rsid w:val="00184ADD"/>
    <w:rsid w:val="00190DDC"/>
    <w:rsid w:val="001C0893"/>
    <w:rsid w:val="001C36AF"/>
    <w:rsid w:val="0022299F"/>
    <w:rsid w:val="00244F75"/>
    <w:rsid w:val="00254EF6"/>
    <w:rsid w:val="00272CA3"/>
    <w:rsid w:val="002833C6"/>
    <w:rsid w:val="002A4D1B"/>
    <w:rsid w:val="002A6A9D"/>
    <w:rsid w:val="002D6182"/>
    <w:rsid w:val="002F0F9B"/>
    <w:rsid w:val="003004A0"/>
    <w:rsid w:val="003005FA"/>
    <w:rsid w:val="00310229"/>
    <w:rsid w:val="00315766"/>
    <w:rsid w:val="00320D6C"/>
    <w:rsid w:val="00325709"/>
    <w:rsid w:val="003266A5"/>
    <w:rsid w:val="00327805"/>
    <w:rsid w:val="00343E1C"/>
    <w:rsid w:val="00351D32"/>
    <w:rsid w:val="003559C6"/>
    <w:rsid w:val="00356B12"/>
    <w:rsid w:val="00364598"/>
    <w:rsid w:val="00364CD2"/>
    <w:rsid w:val="00367C16"/>
    <w:rsid w:val="00372F5E"/>
    <w:rsid w:val="003748E0"/>
    <w:rsid w:val="00390D6D"/>
    <w:rsid w:val="003952B6"/>
    <w:rsid w:val="00396A91"/>
    <w:rsid w:val="003A27AF"/>
    <w:rsid w:val="003B6FFA"/>
    <w:rsid w:val="003C693E"/>
    <w:rsid w:val="003C75CA"/>
    <w:rsid w:val="003D0505"/>
    <w:rsid w:val="003E0AF5"/>
    <w:rsid w:val="003E3008"/>
    <w:rsid w:val="003E7508"/>
    <w:rsid w:val="00410F41"/>
    <w:rsid w:val="00414137"/>
    <w:rsid w:val="004208DB"/>
    <w:rsid w:val="00422ED2"/>
    <w:rsid w:val="00430CB2"/>
    <w:rsid w:val="00437FD2"/>
    <w:rsid w:val="004468A6"/>
    <w:rsid w:val="0045034B"/>
    <w:rsid w:val="004509D2"/>
    <w:rsid w:val="0046218D"/>
    <w:rsid w:val="00464D06"/>
    <w:rsid w:val="00471E0F"/>
    <w:rsid w:val="00484984"/>
    <w:rsid w:val="00491FDC"/>
    <w:rsid w:val="00494814"/>
    <w:rsid w:val="00495986"/>
    <w:rsid w:val="00497C45"/>
    <w:rsid w:val="004A28D0"/>
    <w:rsid w:val="004B19E5"/>
    <w:rsid w:val="004C009F"/>
    <w:rsid w:val="004C314A"/>
    <w:rsid w:val="004D6DB2"/>
    <w:rsid w:val="004D7CF4"/>
    <w:rsid w:val="004E1005"/>
    <w:rsid w:val="00503162"/>
    <w:rsid w:val="00503BAE"/>
    <w:rsid w:val="00505AE4"/>
    <w:rsid w:val="005114B0"/>
    <w:rsid w:val="005211D3"/>
    <w:rsid w:val="00527692"/>
    <w:rsid w:val="005442C2"/>
    <w:rsid w:val="00547909"/>
    <w:rsid w:val="00552175"/>
    <w:rsid w:val="005639DE"/>
    <w:rsid w:val="005640FB"/>
    <w:rsid w:val="00566E56"/>
    <w:rsid w:val="005675DA"/>
    <w:rsid w:val="00571CB0"/>
    <w:rsid w:val="00593ADB"/>
    <w:rsid w:val="00596FB8"/>
    <w:rsid w:val="005A0E0E"/>
    <w:rsid w:val="005A1702"/>
    <w:rsid w:val="005B63D5"/>
    <w:rsid w:val="005C0E6C"/>
    <w:rsid w:val="005C4772"/>
    <w:rsid w:val="005F4D36"/>
    <w:rsid w:val="00601A6C"/>
    <w:rsid w:val="00606F30"/>
    <w:rsid w:val="0061306A"/>
    <w:rsid w:val="006158F8"/>
    <w:rsid w:val="00615C7B"/>
    <w:rsid w:val="006172AB"/>
    <w:rsid w:val="006224B0"/>
    <w:rsid w:val="00625CDB"/>
    <w:rsid w:val="006263FB"/>
    <w:rsid w:val="006266DB"/>
    <w:rsid w:val="00634950"/>
    <w:rsid w:val="00640391"/>
    <w:rsid w:val="0064475C"/>
    <w:rsid w:val="00654CCB"/>
    <w:rsid w:val="006609F7"/>
    <w:rsid w:val="00660C13"/>
    <w:rsid w:val="00680F47"/>
    <w:rsid w:val="006A5F42"/>
    <w:rsid w:val="006B14D1"/>
    <w:rsid w:val="006B2676"/>
    <w:rsid w:val="006B4A4E"/>
    <w:rsid w:val="006C1831"/>
    <w:rsid w:val="006C2987"/>
    <w:rsid w:val="006C358A"/>
    <w:rsid w:val="006C606F"/>
    <w:rsid w:val="006E1195"/>
    <w:rsid w:val="006E7893"/>
    <w:rsid w:val="006F3E17"/>
    <w:rsid w:val="006F3FD5"/>
    <w:rsid w:val="006F5694"/>
    <w:rsid w:val="00704183"/>
    <w:rsid w:val="007065C6"/>
    <w:rsid w:val="007115E4"/>
    <w:rsid w:val="00730950"/>
    <w:rsid w:val="007375CE"/>
    <w:rsid w:val="00744503"/>
    <w:rsid w:val="00744D18"/>
    <w:rsid w:val="0075232C"/>
    <w:rsid w:val="0075571D"/>
    <w:rsid w:val="00757EF0"/>
    <w:rsid w:val="00765153"/>
    <w:rsid w:val="00766127"/>
    <w:rsid w:val="00775F3A"/>
    <w:rsid w:val="00780E9E"/>
    <w:rsid w:val="00785B8F"/>
    <w:rsid w:val="007877DC"/>
    <w:rsid w:val="00790335"/>
    <w:rsid w:val="007962A8"/>
    <w:rsid w:val="007A3CF3"/>
    <w:rsid w:val="007A4439"/>
    <w:rsid w:val="007B1E7D"/>
    <w:rsid w:val="007B481D"/>
    <w:rsid w:val="007C0ACF"/>
    <w:rsid w:val="007D29E4"/>
    <w:rsid w:val="007E3DD6"/>
    <w:rsid w:val="007E60AB"/>
    <w:rsid w:val="00803F0C"/>
    <w:rsid w:val="00804480"/>
    <w:rsid w:val="00814643"/>
    <w:rsid w:val="00815EE1"/>
    <w:rsid w:val="0082521B"/>
    <w:rsid w:val="008420E3"/>
    <w:rsid w:val="008453A5"/>
    <w:rsid w:val="00845D83"/>
    <w:rsid w:val="008573C0"/>
    <w:rsid w:val="00894C02"/>
    <w:rsid w:val="008B0492"/>
    <w:rsid w:val="008B0DE6"/>
    <w:rsid w:val="008C2C9B"/>
    <w:rsid w:val="008D0F21"/>
    <w:rsid w:val="008D63E0"/>
    <w:rsid w:val="008E676F"/>
    <w:rsid w:val="008F3613"/>
    <w:rsid w:val="00903342"/>
    <w:rsid w:val="00910687"/>
    <w:rsid w:val="009205D6"/>
    <w:rsid w:val="00924CEE"/>
    <w:rsid w:val="00925E76"/>
    <w:rsid w:val="0093133E"/>
    <w:rsid w:val="0093513C"/>
    <w:rsid w:val="009462D4"/>
    <w:rsid w:val="009468DD"/>
    <w:rsid w:val="00966E55"/>
    <w:rsid w:val="00973B80"/>
    <w:rsid w:val="00975DEE"/>
    <w:rsid w:val="00986AC1"/>
    <w:rsid w:val="00996582"/>
    <w:rsid w:val="009A2EBE"/>
    <w:rsid w:val="009A64BE"/>
    <w:rsid w:val="009B4AF3"/>
    <w:rsid w:val="009C29DE"/>
    <w:rsid w:val="009E1E2A"/>
    <w:rsid w:val="009E25BD"/>
    <w:rsid w:val="00A01F67"/>
    <w:rsid w:val="00A05CD1"/>
    <w:rsid w:val="00A22063"/>
    <w:rsid w:val="00A2337D"/>
    <w:rsid w:val="00A40FDD"/>
    <w:rsid w:val="00A43C89"/>
    <w:rsid w:val="00A5297C"/>
    <w:rsid w:val="00A768E2"/>
    <w:rsid w:val="00A80EAD"/>
    <w:rsid w:val="00A85F6F"/>
    <w:rsid w:val="00AA0355"/>
    <w:rsid w:val="00AA07A7"/>
    <w:rsid w:val="00AB2D59"/>
    <w:rsid w:val="00AD2543"/>
    <w:rsid w:val="00AE5DE9"/>
    <w:rsid w:val="00AF58EA"/>
    <w:rsid w:val="00B0224E"/>
    <w:rsid w:val="00B07751"/>
    <w:rsid w:val="00B10223"/>
    <w:rsid w:val="00B17274"/>
    <w:rsid w:val="00B236D7"/>
    <w:rsid w:val="00B252A4"/>
    <w:rsid w:val="00B25F79"/>
    <w:rsid w:val="00B27358"/>
    <w:rsid w:val="00B36586"/>
    <w:rsid w:val="00B36E9B"/>
    <w:rsid w:val="00B42526"/>
    <w:rsid w:val="00B504C4"/>
    <w:rsid w:val="00B5143E"/>
    <w:rsid w:val="00B57D6E"/>
    <w:rsid w:val="00B601B2"/>
    <w:rsid w:val="00B64511"/>
    <w:rsid w:val="00B65D9C"/>
    <w:rsid w:val="00B83E3C"/>
    <w:rsid w:val="00B8568E"/>
    <w:rsid w:val="00B90DEF"/>
    <w:rsid w:val="00BA3884"/>
    <w:rsid w:val="00BA426A"/>
    <w:rsid w:val="00BA7342"/>
    <w:rsid w:val="00BC01C2"/>
    <w:rsid w:val="00BC46E1"/>
    <w:rsid w:val="00BD26B6"/>
    <w:rsid w:val="00BD66F2"/>
    <w:rsid w:val="00BE4BF3"/>
    <w:rsid w:val="00BE520D"/>
    <w:rsid w:val="00BE5F6C"/>
    <w:rsid w:val="00BF1E30"/>
    <w:rsid w:val="00BF20A6"/>
    <w:rsid w:val="00C03BFA"/>
    <w:rsid w:val="00C06482"/>
    <w:rsid w:val="00C06E12"/>
    <w:rsid w:val="00C13D0E"/>
    <w:rsid w:val="00C154D9"/>
    <w:rsid w:val="00C23BED"/>
    <w:rsid w:val="00C279FF"/>
    <w:rsid w:val="00C318A1"/>
    <w:rsid w:val="00C37F44"/>
    <w:rsid w:val="00C50D19"/>
    <w:rsid w:val="00C50D9D"/>
    <w:rsid w:val="00C532A7"/>
    <w:rsid w:val="00C54C10"/>
    <w:rsid w:val="00C62F9B"/>
    <w:rsid w:val="00C80469"/>
    <w:rsid w:val="00CA073E"/>
    <w:rsid w:val="00CA6CA0"/>
    <w:rsid w:val="00CB252B"/>
    <w:rsid w:val="00CB3401"/>
    <w:rsid w:val="00CB7290"/>
    <w:rsid w:val="00CC0C5F"/>
    <w:rsid w:val="00CC2D45"/>
    <w:rsid w:val="00CC4A2E"/>
    <w:rsid w:val="00CC7B4F"/>
    <w:rsid w:val="00CF1D88"/>
    <w:rsid w:val="00CF6EDE"/>
    <w:rsid w:val="00D00A9D"/>
    <w:rsid w:val="00D03AEB"/>
    <w:rsid w:val="00D11795"/>
    <w:rsid w:val="00D12063"/>
    <w:rsid w:val="00D21F22"/>
    <w:rsid w:val="00D30A7E"/>
    <w:rsid w:val="00D318DB"/>
    <w:rsid w:val="00D35046"/>
    <w:rsid w:val="00D4234D"/>
    <w:rsid w:val="00D61B85"/>
    <w:rsid w:val="00D61D96"/>
    <w:rsid w:val="00D711BE"/>
    <w:rsid w:val="00D7539B"/>
    <w:rsid w:val="00D8255A"/>
    <w:rsid w:val="00D9414E"/>
    <w:rsid w:val="00D96A0A"/>
    <w:rsid w:val="00DA04B4"/>
    <w:rsid w:val="00DA7848"/>
    <w:rsid w:val="00DB060A"/>
    <w:rsid w:val="00DC4CC6"/>
    <w:rsid w:val="00DD0764"/>
    <w:rsid w:val="00DD2179"/>
    <w:rsid w:val="00DD5329"/>
    <w:rsid w:val="00DD7BEE"/>
    <w:rsid w:val="00DF1861"/>
    <w:rsid w:val="00DF618A"/>
    <w:rsid w:val="00E07232"/>
    <w:rsid w:val="00E101D5"/>
    <w:rsid w:val="00E13BB5"/>
    <w:rsid w:val="00E22D8D"/>
    <w:rsid w:val="00E2726E"/>
    <w:rsid w:val="00E34304"/>
    <w:rsid w:val="00E41BBF"/>
    <w:rsid w:val="00E427DB"/>
    <w:rsid w:val="00E44F5E"/>
    <w:rsid w:val="00E51C33"/>
    <w:rsid w:val="00E56615"/>
    <w:rsid w:val="00E57F09"/>
    <w:rsid w:val="00E6518E"/>
    <w:rsid w:val="00E8242C"/>
    <w:rsid w:val="00E86F84"/>
    <w:rsid w:val="00E915F2"/>
    <w:rsid w:val="00E96DAB"/>
    <w:rsid w:val="00EA00B1"/>
    <w:rsid w:val="00EC6185"/>
    <w:rsid w:val="00EC7D2E"/>
    <w:rsid w:val="00ED3C68"/>
    <w:rsid w:val="00ED5081"/>
    <w:rsid w:val="00EE6A8C"/>
    <w:rsid w:val="00EF3637"/>
    <w:rsid w:val="00EF58DB"/>
    <w:rsid w:val="00F01AD8"/>
    <w:rsid w:val="00F17338"/>
    <w:rsid w:val="00F2280F"/>
    <w:rsid w:val="00F24D88"/>
    <w:rsid w:val="00F253CC"/>
    <w:rsid w:val="00F26BE4"/>
    <w:rsid w:val="00F411A4"/>
    <w:rsid w:val="00F53E52"/>
    <w:rsid w:val="00F7215A"/>
    <w:rsid w:val="00F77226"/>
    <w:rsid w:val="00FA0F7C"/>
    <w:rsid w:val="00FB26C0"/>
    <w:rsid w:val="00FB62AF"/>
    <w:rsid w:val="00FC1D17"/>
    <w:rsid w:val="00FC7262"/>
    <w:rsid w:val="00FC75A7"/>
    <w:rsid w:val="00FD070A"/>
    <w:rsid w:val="00FE5328"/>
    <w:rsid w:val="00FE6105"/>
    <w:rsid w:val="00FF20C8"/>
    <w:rsid w:val="00FF4C8F"/>
    <w:rsid w:val="00FF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A7F0FD-2DB6-4671-9CB5-430EE527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05"/>
    <w:rPr>
      <w:sz w:val="24"/>
      <w:szCs w:val="24"/>
      <w:lang w:eastAsia="en-US"/>
    </w:rPr>
  </w:style>
  <w:style w:type="paragraph" w:styleId="Heading1">
    <w:name w:val="heading 1"/>
    <w:basedOn w:val="Normal"/>
    <w:next w:val="Normal"/>
    <w:link w:val="Heading1Char"/>
    <w:qFormat/>
    <w:rsid w:val="002A6A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6E119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A6A9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43C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306A"/>
    <w:rPr>
      <w:color w:val="0000FF"/>
      <w:u w:val="single"/>
    </w:rPr>
  </w:style>
  <w:style w:type="paragraph" w:styleId="BodyText">
    <w:name w:val="Body Text"/>
    <w:aliases w:val="DNV-Body"/>
    <w:basedOn w:val="Normal"/>
    <w:rsid w:val="006E1195"/>
    <w:pPr>
      <w:jc w:val="both"/>
    </w:pPr>
    <w:rPr>
      <w:b/>
      <w:bCs/>
      <w:sz w:val="22"/>
      <w:szCs w:val="20"/>
      <w:lang w:val="en-GB"/>
    </w:rPr>
  </w:style>
  <w:style w:type="paragraph" w:styleId="NormalWeb">
    <w:name w:val="Normal (Web)"/>
    <w:basedOn w:val="Normal"/>
    <w:uiPriority w:val="99"/>
    <w:rsid w:val="00EE6A8C"/>
    <w:pPr>
      <w:spacing w:before="100" w:beforeAutospacing="1" w:after="100" w:afterAutospacing="1" w:line="312" w:lineRule="auto"/>
    </w:pPr>
    <w:rPr>
      <w:rFonts w:ascii="Verdana" w:hAnsi="Verdana"/>
      <w:color w:val="333333"/>
      <w:sz w:val="20"/>
      <w:szCs w:val="20"/>
      <w:lang w:bidi="fa-IR"/>
    </w:rPr>
  </w:style>
  <w:style w:type="paragraph" w:styleId="BodyTextIndent">
    <w:name w:val="Body Text Indent"/>
    <w:basedOn w:val="Normal"/>
    <w:rsid w:val="00EE6A8C"/>
    <w:pPr>
      <w:spacing w:after="120"/>
      <w:ind w:left="360"/>
    </w:pPr>
  </w:style>
  <w:style w:type="character" w:styleId="CommentReference">
    <w:name w:val="annotation reference"/>
    <w:basedOn w:val="DefaultParagraphFont"/>
    <w:semiHidden/>
    <w:rsid w:val="00B57D6E"/>
    <w:rPr>
      <w:sz w:val="16"/>
      <w:szCs w:val="16"/>
    </w:rPr>
  </w:style>
  <w:style w:type="paragraph" w:styleId="CommentText">
    <w:name w:val="annotation text"/>
    <w:basedOn w:val="Normal"/>
    <w:semiHidden/>
    <w:rsid w:val="00B57D6E"/>
    <w:rPr>
      <w:sz w:val="20"/>
      <w:szCs w:val="20"/>
    </w:rPr>
  </w:style>
  <w:style w:type="paragraph" w:styleId="CommentSubject">
    <w:name w:val="annotation subject"/>
    <w:basedOn w:val="CommentText"/>
    <w:next w:val="CommentText"/>
    <w:semiHidden/>
    <w:rsid w:val="00B57D6E"/>
    <w:rPr>
      <w:b/>
      <w:bCs/>
    </w:rPr>
  </w:style>
  <w:style w:type="paragraph" w:styleId="BalloonText">
    <w:name w:val="Balloon Text"/>
    <w:basedOn w:val="Normal"/>
    <w:semiHidden/>
    <w:rsid w:val="00B57D6E"/>
    <w:rPr>
      <w:rFonts w:ascii="Tahoma" w:hAnsi="Tahoma" w:cs="Tahoma"/>
      <w:sz w:val="16"/>
      <w:szCs w:val="16"/>
    </w:rPr>
  </w:style>
  <w:style w:type="paragraph" w:styleId="FootnoteText">
    <w:name w:val="footnote text"/>
    <w:aliases w:val="Geneva 9,Font: Geneva 9,Boston 10,f,single space,footnote text,Footnote,otnote Text"/>
    <w:basedOn w:val="Normal"/>
    <w:link w:val="FootnoteTextChar"/>
    <w:rsid w:val="009C29DE"/>
    <w:rPr>
      <w:sz w:val="20"/>
      <w:szCs w:val="20"/>
    </w:rPr>
  </w:style>
  <w:style w:type="character" w:styleId="FootnoteReference">
    <w:name w:val="footnote reference"/>
    <w:aliases w:val="16 Point,Superscript 6 Point,Superscript 6 Point + 11 pt"/>
    <w:basedOn w:val="DefaultParagraphFont"/>
    <w:uiPriority w:val="99"/>
    <w:rsid w:val="009C29DE"/>
    <w:rPr>
      <w:sz w:val="20"/>
      <w:vertAlign w:val="superscript"/>
    </w:rPr>
  </w:style>
  <w:style w:type="character" w:customStyle="1" w:styleId="EmailStyle251">
    <w:name w:val="EmailStyle251"/>
    <w:basedOn w:val="DefaultParagraphFont"/>
    <w:semiHidden/>
    <w:rsid w:val="00BA7342"/>
    <w:rPr>
      <w:rFonts w:ascii="Arial" w:hAnsi="Arial" w:cs="Arial"/>
      <w:b w:val="0"/>
      <w:bCs w:val="0"/>
      <w:i w:val="0"/>
      <w:iCs w:val="0"/>
      <w:strike w:val="0"/>
      <w:color w:val="auto"/>
      <w:sz w:val="22"/>
      <w:szCs w:val="22"/>
      <w:u w:val="none"/>
    </w:rPr>
  </w:style>
  <w:style w:type="paragraph" w:styleId="ListParagraph">
    <w:name w:val="List Paragraph"/>
    <w:basedOn w:val="Normal"/>
    <w:uiPriority w:val="34"/>
    <w:qFormat/>
    <w:rsid w:val="00F53E52"/>
    <w:pPr>
      <w:ind w:left="720"/>
      <w:contextualSpacing/>
    </w:pPr>
  </w:style>
  <w:style w:type="paragraph" w:styleId="Header">
    <w:name w:val="header"/>
    <w:basedOn w:val="Normal"/>
    <w:link w:val="HeaderChar"/>
    <w:rsid w:val="006B2676"/>
    <w:pPr>
      <w:tabs>
        <w:tab w:val="center" w:pos="4680"/>
        <w:tab w:val="right" w:pos="9360"/>
      </w:tabs>
    </w:pPr>
  </w:style>
  <w:style w:type="character" w:customStyle="1" w:styleId="HeaderChar">
    <w:name w:val="Header Char"/>
    <w:basedOn w:val="DefaultParagraphFont"/>
    <w:link w:val="Header"/>
    <w:rsid w:val="006B2676"/>
    <w:rPr>
      <w:sz w:val="24"/>
      <w:szCs w:val="24"/>
      <w:lang w:eastAsia="en-US"/>
    </w:rPr>
  </w:style>
  <w:style w:type="paragraph" w:styleId="Footer">
    <w:name w:val="footer"/>
    <w:basedOn w:val="Normal"/>
    <w:link w:val="FooterChar"/>
    <w:uiPriority w:val="99"/>
    <w:rsid w:val="006B2676"/>
    <w:pPr>
      <w:tabs>
        <w:tab w:val="center" w:pos="4680"/>
        <w:tab w:val="right" w:pos="9360"/>
      </w:tabs>
    </w:pPr>
  </w:style>
  <w:style w:type="character" w:customStyle="1" w:styleId="FooterChar">
    <w:name w:val="Footer Char"/>
    <w:basedOn w:val="DefaultParagraphFont"/>
    <w:link w:val="Footer"/>
    <w:uiPriority w:val="99"/>
    <w:rsid w:val="006B2676"/>
    <w:rPr>
      <w:sz w:val="24"/>
      <w:szCs w:val="24"/>
      <w:lang w:eastAsia="en-US"/>
    </w:rPr>
  </w:style>
  <w:style w:type="character" w:customStyle="1" w:styleId="FootnoteTextChar">
    <w:name w:val="Footnote Text Char"/>
    <w:aliases w:val="Geneva 9 Char,Font: Geneva 9 Char,Boston 10 Char,f Char,single space Char,footnote text Char,Footnote Char,otnote Text Char"/>
    <w:basedOn w:val="DefaultParagraphFont"/>
    <w:link w:val="FootnoteText"/>
    <w:locked/>
    <w:rsid w:val="00765153"/>
    <w:rPr>
      <w:lang w:eastAsia="en-US"/>
    </w:rPr>
  </w:style>
  <w:style w:type="character" w:customStyle="1" w:styleId="Heading1Char">
    <w:name w:val="Heading 1 Char"/>
    <w:basedOn w:val="DefaultParagraphFont"/>
    <w:link w:val="Heading1"/>
    <w:rsid w:val="002A6A9D"/>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semiHidden/>
    <w:rsid w:val="002A6A9D"/>
    <w:rPr>
      <w:rFonts w:asciiTheme="majorHAnsi" w:eastAsiaTheme="majorEastAsia" w:hAnsiTheme="majorHAnsi" w:cstheme="majorBidi"/>
      <w:b/>
      <w:bCs/>
      <w:color w:val="4F81BD" w:themeColor="accent1"/>
      <w:sz w:val="24"/>
      <w:szCs w:val="24"/>
      <w:lang w:eastAsia="en-US"/>
    </w:rPr>
  </w:style>
  <w:style w:type="paragraph" w:customStyle="1" w:styleId="GEFPIFBodyTextNumberedPara">
    <w:name w:val="GEF PIF Body Text Numbered Para"/>
    <w:basedOn w:val="Normal"/>
    <w:qFormat/>
    <w:rsid w:val="002A6A9D"/>
    <w:pPr>
      <w:numPr>
        <w:numId w:val="12"/>
      </w:numPr>
      <w:spacing w:after="200"/>
      <w:contextualSpacing/>
    </w:pPr>
    <w:rPr>
      <w:rFonts w:eastAsia="MS Mincho"/>
      <w:sz w:val="22"/>
    </w:rPr>
  </w:style>
  <w:style w:type="character" w:styleId="FollowedHyperlink">
    <w:name w:val="FollowedHyperlink"/>
    <w:basedOn w:val="DefaultParagraphFont"/>
    <w:rsid w:val="00364CD2"/>
    <w:rPr>
      <w:color w:val="800080" w:themeColor="followedHyperlink"/>
      <w:u w:val="single"/>
    </w:rPr>
  </w:style>
  <w:style w:type="character" w:customStyle="1" w:styleId="textfade">
    <w:name w:val="textfade"/>
    <w:basedOn w:val="DefaultParagraphFont"/>
    <w:rsid w:val="00B236D7"/>
  </w:style>
  <w:style w:type="character" w:customStyle="1" w:styleId="text">
    <w:name w:val="text"/>
    <w:basedOn w:val="DefaultParagraphFont"/>
    <w:rsid w:val="00B236D7"/>
  </w:style>
  <w:style w:type="character" w:customStyle="1" w:styleId="Heading4Char">
    <w:name w:val="Heading 4 Char"/>
    <w:basedOn w:val="DefaultParagraphFont"/>
    <w:link w:val="Heading4"/>
    <w:semiHidden/>
    <w:rsid w:val="00A43C89"/>
    <w:rPr>
      <w:rFonts w:asciiTheme="majorHAnsi" w:eastAsiaTheme="majorEastAsia" w:hAnsiTheme="majorHAnsi" w:cstheme="majorBidi"/>
      <w:b/>
      <w:bCs/>
      <w:i/>
      <w:iCs/>
      <w:color w:val="4F81BD" w:themeColor="accent1"/>
      <w:sz w:val="24"/>
      <w:szCs w:val="24"/>
      <w:lang w:eastAsia="en-US"/>
    </w:rPr>
  </w:style>
  <w:style w:type="paragraph" w:customStyle="1" w:styleId="Subtitle1">
    <w:name w:val="Subtitle1"/>
    <w:basedOn w:val="Normal"/>
    <w:rsid w:val="00910687"/>
    <w:pPr>
      <w:spacing w:before="100" w:beforeAutospacing="1" w:after="100" w:afterAutospacing="1"/>
    </w:pPr>
  </w:style>
  <w:style w:type="character" w:styleId="Strong">
    <w:name w:val="Strong"/>
    <w:basedOn w:val="DefaultParagraphFont"/>
    <w:uiPriority w:val="22"/>
    <w:qFormat/>
    <w:rsid w:val="00910687"/>
    <w:rPr>
      <w:b/>
      <w:bCs/>
    </w:rPr>
  </w:style>
  <w:style w:type="character" w:customStyle="1" w:styleId="showvalue">
    <w:name w:val="showvalue"/>
    <w:basedOn w:val="DefaultParagraphFont"/>
    <w:rsid w:val="00593ADB"/>
  </w:style>
  <w:style w:type="character" w:customStyle="1" w:styleId="longtext">
    <w:name w:val="long_text"/>
    <w:basedOn w:val="DefaultParagraphFont"/>
    <w:rsid w:val="00593ADB"/>
  </w:style>
  <w:style w:type="character" w:customStyle="1" w:styleId="hps">
    <w:name w:val="hps"/>
    <w:basedOn w:val="DefaultParagraphFont"/>
    <w:rsid w:val="00593ADB"/>
  </w:style>
  <w:style w:type="character" w:customStyle="1" w:styleId="Title1">
    <w:name w:val="Title1"/>
    <w:basedOn w:val="DefaultParagraphFont"/>
    <w:rsid w:val="00DD7BEE"/>
  </w:style>
  <w:style w:type="paragraph" w:customStyle="1" w:styleId="Default">
    <w:name w:val="Default"/>
    <w:rsid w:val="00CA6CA0"/>
    <w:pPr>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CA6CA0"/>
    <w:pPr>
      <w:spacing w:line="361" w:lineRule="atLeast"/>
    </w:pPr>
    <w:rPr>
      <w:rFonts w:cs="Times New Roman"/>
      <w:color w:val="auto"/>
    </w:rPr>
  </w:style>
  <w:style w:type="paragraph" w:customStyle="1" w:styleId="Pa2">
    <w:name w:val="Pa2"/>
    <w:basedOn w:val="Default"/>
    <w:next w:val="Default"/>
    <w:uiPriority w:val="99"/>
    <w:rsid w:val="00CA6CA0"/>
    <w:pPr>
      <w:spacing w:line="181" w:lineRule="atLeast"/>
    </w:pPr>
    <w:rPr>
      <w:rFonts w:cs="Times New Roman"/>
      <w:color w:val="auto"/>
    </w:rPr>
  </w:style>
  <w:style w:type="paragraph" w:customStyle="1" w:styleId="Pa4">
    <w:name w:val="Pa4"/>
    <w:basedOn w:val="Default"/>
    <w:next w:val="Default"/>
    <w:uiPriority w:val="99"/>
    <w:rsid w:val="00CA6CA0"/>
    <w:pPr>
      <w:spacing w:line="18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2892">
      <w:bodyDiv w:val="1"/>
      <w:marLeft w:val="0"/>
      <w:marRight w:val="0"/>
      <w:marTop w:val="0"/>
      <w:marBottom w:val="0"/>
      <w:divBdr>
        <w:top w:val="none" w:sz="0" w:space="0" w:color="auto"/>
        <w:left w:val="none" w:sz="0" w:space="0" w:color="auto"/>
        <w:bottom w:val="none" w:sz="0" w:space="0" w:color="auto"/>
        <w:right w:val="none" w:sz="0" w:space="0" w:color="auto"/>
      </w:divBdr>
      <w:divsChild>
        <w:div w:id="1517964701">
          <w:marLeft w:val="547"/>
          <w:marRight w:val="0"/>
          <w:marTop w:val="96"/>
          <w:marBottom w:val="0"/>
          <w:divBdr>
            <w:top w:val="none" w:sz="0" w:space="0" w:color="auto"/>
            <w:left w:val="none" w:sz="0" w:space="0" w:color="auto"/>
            <w:bottom w:val="none" w:sz="0" w:space="0" w:color="auto"/>
            <w:right w:val="none" w:sz="0" w:space="0" w:color="auto"/>
          </w:divBdr>
        </w:div>
        <w:div w:id="314799402">
          <w:marLeft w:val="547"/>
          <w:marRight w:val="0"/>
          <w:marTop w:val="96"/>
          <w:marBottom w:val="0"/>
          <w:divBdr>
            <w:top w:val="none" w:sz="0" w:space="0" w:color="auto"/>
            <w:left w:val="none" w:sz="0" w:space="0" w:color="auto"/>
            <w:bottom w:val="none" w:sz="0" w:space="0" w:color="auto"/>
            <w:right w:val="none" w:sz="0" w:space="0" w:color="auto"/>
          </w:divBdr>
        </w:div>
      </w:divsChild>
    </w:div>
    <w:div w:id="162204079">
      <w:bodyDiv w:val="1"/>
      <w:marLeft w:val="0"/>
      <w:marRight w:val="0"/>
      <w:marTop w:val="0"/>
      <w:marBottom w:val="0"/>
      <w:divBdr>
        <w:top w:val="none" w:sz="0" w:space="0" w:color="auto"/>
        <w:left w:val="none" w:sz="0" w:space="0" w:color="auto"/>
        <w:bottom w:val="none" w:sz="0" w:space="0" w:color="auto"/>
        <w:right w:val="none" w:sz="0" w:space="0" w:color="auto"/>
      </w:divBdr>
    </w:div>
    <w:div w:id="185100976">
      <w:bodyDiv w:val="1"/>
      <w:marLeft w:val="0"/>
      <w:marRight w:val="0"/>
      <w:marTop w:val="0"/>
      <w:marBottom w:val="0"/>
      <w:divBdr>
        <w:top w:val="none" w:sz="0" w:space="0" w:color="auto"/>
        <w:left w:val="none" w:sz="0" w:space="0" w:color="auto"/>
        <w:bottom w:val="none" w:sz="0" w:space="0" w:color="auto"/>
        <w:right w:val="none" w:sz="0" w:space="0" w:color="auto"/>
      </w:divBdr>
    </w:div>
    <w:div w:id="360013316">
      <w:bodyDiv w:val="1"/>
      <w:marLeft w:val="0"/>
      <w:marRight w:val="0"/>
      <w:marTop w:val="0"/>
      <w:marBottom w:val="0"/>
      <w:divBdr>
        <w:top w:val="none" w:sz="0" w:space="0" w:color="auto"/>
        <w:left w:val="none" w:sz="0" w:space="0" w:color="auto"/>
        <w:bottom w:val="none" w:sz="0" w:space="0" w:color="auto"/>
        <w:right w:val="none" w:sz="0" w:space="0" w:color="auto"/>
      </w:divBdr>
      <w:divsChild>
        <w:div w:id="252980561">
          <w:marLeft w:val="547"/>
          <w:marRight w:val="0"/>
          <w:marTop w:val="134"/>
          <w:marBottom w:val="0"/>
          <w:divBdr>
            <w:top w:val="none" w:sz="0" w:space="0" w:color="auto"/>
            <w:left w:val="none" w:sz="0" w:space="0" w:color="auto"/>
            <w:bottom w:val="none" w:sz="0" w:space="0" w:color="auto"/>
            <w:right w:val="none" w:sz="0" w:space="0" w:color="auto"/>
          </w:divBdr>
        </w:div>
        <w:div w:id="1424960377">
          <w:marLeft w:val="547"/>
          <w:marRight w:val="0"/>
          <w:marTop w:val="134"/>
          <w:marBottom w:val="0"/>
          <w:divBdr>
            <w:top w:val="none" w:sz="0" w:space="0" w:color="auto"/>
            <w:left w:val="none" w:sz="0" w:space="0" w:color="auto"/>
            <w:bottom w:val="none" w:sz="0" w:space="0" w:color="auto"/>
            <w:right w:val="none" w:sz="0" w:space="0" w:color="auto"/>
          </w:divBdr>
        </w:div>
        <w:div w:id="1871065499">
          <w:marLeft w:val="547"/>
          <w:marRight w:val="0"/>
          <w:marTop w:val="134"/>
          <w:marBottom w:val="0"/>
          <w:divBdr>
            <w:top w:val="none" w:sz="0" w:space="0" w:color="auto"/>
            <w:left w:val="none" w:sz="0" w:space="0" w:color="auto"/>
            <w:bottom w:val="none" w:sz="0" w:space="0" w:color="auto"/>
            <w:right w:val="none" w:sz="0" w:space="0" w:color="auto"/>
          </w:divBdr>
        </w:div>
        <w:div w:id="1312980424">
          <w:marLeft w:val="547"/>
          <w:marRight w:val="0"/>
          <w:marTop w:val="134"/>
          <w:marBottom w:val="0"/>
          <w:divBdr>
            <w:top w:val="none" w:sz="0" w:space="0" w:color="auto"/>
            <w:left w:val="none" w:sz="0" w:space="0" w:color="auto"/>
            <w:bottom w:val="none" w:sz="0" w:space="0" w:color="auto"/>
            <w:right w:val="none" w:sz="0" w:space="0" w:color="auto"/>
          </w:divBdr>
        </w:div>
        <w:div w:id="1497528022">
          <w:marLeft w:val="547"/>
          <w:marRight w:val="0"/>
          <w:marTop w:val="134"/>
          <w:marBottom w:val="0"/>
          <w:divBdr>
            <w:top w:val="none" w:sz="0" w:space="0" w:color="auto"/>
            <w:left w:val="none" w:sz="0" w:space="0" w:color="auto"/>
            <w:bottom w:val="none" w:sz="0" w:space="0" w:color="auto"/>
            <w:right w:val="none" w:sz="0" w:space="0" w:color="auto"/>
          </w:divBdr>
        </w:div>
      </w:divsChild>
    </w:div>
    <w:div w:id="485781011">
      <w:bodyDiv w:val="1"/>
      <w:marLeft w:val="0"/>
      <w:marRight w:val="0"/>
      <w:marTop w:val="0"/>
      <w:marBottom w:val="0"/>
      <w:divBdr>
        <w:top w:val="none" w:sz="0" w:space="0" w:color="auto"/>
        <w:left w:val="none" w:sz="0" w:space="0" w:color="auto"/>
        <w:bottom w:val="none" w:sz="0" w:space="0" w:color="auto"/>
        <w:right w:val="none" w:sz="0" w:space="0" w:color="auto"/>
      </w:divBdr>
    </w:div>
    <w:div w:id="739866268">
      <w:bodyDiv w:val="1"/>
      <w:marLeft w:val="0"/>
      <w:marRight w:val="0"/>
      <w:marTop w:val="0"/>
      <w:marBottom w:val="0"/>
      <w:divBdr>
        <w:top w:val="none" w:sz="0" w:space="0" w:color="auto"/>
        <w:left w:val="none" w:sz="0" w:space="0" w:color="auto"/>
        <w:bottom w:val="none" w:sz="0" w:space="0" w:color="auto"/>
        <w:right w:val="none" w:sz="0" w:space="0" w:color="auto"/>
      </w:divBdr>
      <w:divsChild>
        <w:div w:id="2047831597">
          <w:marLeft w:val="547"/>
          <w:marRight w:val="0"/>
          <w:marTop w:val="96"/>
          <w:marBottom w:val="0"/>
          <w:divBdr>
            <w:top w:val="none" w:sz="0" w:space="0" w:color="auto"/>
            <w:left w:val="none" w:sz="0" w:space="0" w:color="auto"/>
            <w:bottom w:val="none" w:sz="0" w:space="0" w:color="auto"/>
            <w:right w:val="none" w:sz="0" w:space="0" w:color="auto"/>
          </w:divBdr>
        </w:div>
        <w:div w:id="1977754832">
          <w:marLeft w:val="547"/>
          <w:marRight w:val="0"/>
          <w:marTop w:val="96"/>
          <w:marBottom w:val="0"/>
          <w:divBdr>
            <w:top w:val="none" w:sz="0" w:space="0" w:color="auto"/>
            <w:left w:val="none" w:sz="0" w:space="0" w:color="auto"/>
            <w:bottom w:val="none" w:sz="0" w:space="0" w:color="auto"/>
            <w:right w:val="none" w:sz="0" w:space="0" w:color="auto"/>
          </w:divBdr>
        </w:div>
        <w:div w:id="573591501">
          <w:marLeft w:val="547"/>
          <w:marRight w:val="0"/>
          <w:marTop w:val="96"/>
          <w:marBottom w:val="0"/>
          <w:divBdr>
            <w:top w:val="none" w:sz="0" w:space="0" w:color="auto"/>
            <w:left w:val="none" w:sz="0" w:space="0" w:color="auto"/>
            <w:bottom w:val="none" w:sz="0" w:space="0" w:color="auto"/>
            <w:right w:val="none" w:sz="0" w:space="0" w:color="auto"/>
          </w:divBdr>
        </w:div>
        <w:div w:id="988633756">
          <w:marLeft w:val="547"/>
          <w:marRight w:val="0"/>
          <w:marTop w:val="96"/>
          <w:marBottom w:val="0"/>
          <w:divBdr>
            <w:top w:val="none" w:sz="0" w:space="0" w:color="auto"/>
            <w:left w:val="none" w:sz="0" w:space="0" w:color="auto"/>
            <w:bottom w:val="none" w:sz="0" w:space="0" w:color="auto"/>
            <w:right w:val="none" w:sz="0" w:space="0" w:color="auto"/>
          </w:divBdr>
        </w:div>
      </w:divsChild>
    </w:div>
    <w:div w:id="773941555">
      <w:bodyDiv w:val="1"/>
      <w:marLeft w:val="0"/>
      <w:marRight w:val="0"/>
      <w:marTop w:val="0"/>
      <w:marBottom w:val="0"/>
      <w:divBdr>
        <w:top w:val="none" w:sz="0" w:space="0" w:color="auto"/>
        <w:left w:val="none" w:sz="0" w:space="0" w:color="auto"/>
        <w:bottom w:val="none" w:sz="0" w:space="0" w:color="auto"/>
        <w:right w:val="none" w:sz="0" w:space="0" w:color="auto"/>
      </w:divBdr>
      <w:divsChild>
        <w:div w:id="23135582">
          <w:marLeft w:val="547"/>
          <w:marRight w:val="0"/>
          <w:marTop w:val="115"/>
          <w:marBottom w:val="0"/>
          <w:divBdr>
            <w:top w:val="none" w:sz="0" w:space="0" w:color="auto"/>
            <w:left w:val="none" w:sz="0" w:space="0" w:color="auto"/>
            <w:bottom w:val="none" w:sz="0" w:space="0" w:color="auto"/>
            <w:right w:val="none" w:sz="0" w:space="0" w:color="auto"/>
          </w:divBdr>
        </w:div>
        <w:div w:id="942419751">
          <w:marLeft w:val="547"/>
          <w:marRight w:val="0"/>
          <w:marTop w:val="115"/>
          <w:marBottom w:val="0"/>
          <w:divBdr>
            <w:top w:val="none" w:sz="0" w:space="0" w:color="auto"/>
            <w:left w:val="none" w:sz="0" w:space="0" w:color="auto"/>
            <w:bottom w:val="none" w:sz="0" w:space="0" w:color="auto"/>
            <w:right w:val="none" w:sz="0" w:space="0" w:color="auto"/>
          </w:divBdr>
        </w:div>
        <w:div w:id="1336493831">
          <w:marLeft w:val="547"/>
          <w:marRight w:val="0"/>
          <w:marTop w:val="115"/>
          <w:marBottom w:val="0"/>
          <w:divBdr>
            <w:top w:val="none" w:sz="0" w:space="0" w:color="auto"/>
            <w:left w:val="none" w:sz="0" w:space="0" w:color="auto"/>
            <w:bottom w:val="none" w:sz="0" w:space="0" w:color="auto"/>
            <w:right w:val="none" w:sz="0" w:space="0" w:color="auto"/>
          </w:divBdr>
        </w:div>
        <w:div w:id="2003728397">
          <w:marLeft w:val="547"/>
          <w:marRight w:val="0"/>
          <w:marTop w:val="115"/>
          <w:marBottom w:val="0"/>
          <w:divBdr>
            <w:top w:val="none" w:sz="0" w:space="0" w:color="auto"/>
            <w:left w:val="none" w:sz="0" w:space="0" w:color="auto"/>
            <w:bottom w:val="none" w:sz="0" w:space="0" w:color="auto"/>
            <w:right w:val="none" w:sz="0" w:space="0" w:color="auto"/>
          </w:divBdr>
        </w:div>
      </w:divsChild>
    </w:div>
    <w:div w:id="895436294">
      <w:bodyDiv w:val="1"/>
      <w:marLeft w:val="0"/>
      <w:marRight w:val="0"/>
      <w:marTop w:val="0"/>
      <w:marBottom w:val="0"/>
      <w:divBdr>
        <w:top w:val="none" w:sz="0" w:space="0" w:color="auto"/>
        <w:left w:val="none" w:sz="0" w:space="0" w:color="auto"/>
        <w:bottom w:val="none" w:sz="0" w:space="0" w:color="auto"/>
        <w:right w:val="none" w:sz="0" w:space="0" w:color="auto"/>
      </w:divBdr>
      <w:divsChild>
        <w:div w:id="141779808">
          <w:marLeft w:val="0"/>
          <w:marRight w:val="0"/>
          <w:marTop w:val="288"/>
          <w:marBottom w:val="0"/>
          <w:divBdr>
            <w:top w:val="none" w:sz="0" w:space="0" w:color="auto"/>
            <w:left w:val="none" w:sz="0" w:space="0" w:color="auto"/>
            <w:bottom w:val="none" w:sz="0" w:space="0" w:color="auto"/>
            <w:right w:val="none" w:sz="0" w:space="0" w:color="auto"/>
          </w:divBdr>
        </w:div>
        <w:div w:id="1915966584">
          <w:marLeft w:val="0"/>
          <w:marRight w:val="0"/>
          <w:marTop w:val="288"/>
          <w:marBottom w:val="0"/>
          <w:divBdr>
            <w:top w:val="none" w:sz="0" w:space="0" w:color="auto"/>
            <w:left w:val="none" w:sz="0" w:space="0" w:color="auto"/>
            <w:bottom w:val="none" w:sz="0" w:space="0" w:color="auto"/>
            <w:right w:val="none" w:sz="0" w:space="0" w:color="auto"/>
          </w:divBdr>
        </w:div>
        <w:div w:id="1475679658">
          <w:marLeft w:val="0"/>
          <w:marRight w:val="0"/>
          <w:marTop w:val="288"/>
          <w:marBottom w:val="0"/>
          <w:divBdr>
            <w:top w:val="none" w:sz="0" w:space="0" w:color="auto"/>
            <w:left w:val="none" w:sz="0" w:space="0" w:color="auto"/>
            <w:bottom w:val="none" w:sz="0" w:space="0" w:color="auto"/>
            <w:right w:val="none" w:sz="0" w:space="0" w:color="auto"/>
          </w:divBdr>
        </w:div>
      </w:divsChild>
    </w:div>
    <w:div w:id="915743815">
      <w:bodyDiv w:val="1"/>
      <w:marLeft w:val="0"/>
      <w:marRight w:val="0"/>
      <w:marTop w:val="0"/>
      <w:marBottom w:val="0"/>
      <w:divBdr>
        <w:top w:val="none" w:sz="0" w:space="0" w:color="auto"/>
        <w:left w:val="none" w:sz="0" w:space="0" w:color="auto"/>
        <w:bottom w:val="none" w:sz="0" w:space="0" w:color="auto"/>
        <w:right w:val="none" w:sz="0" w:space="0" w:color="auto"/>
      </w:divBdr>
    </w:div>
    <w:div w:id="959261520">
      <w:bodyDiv w:val="1"/>
      <w:marLeft w:val="0"/>
      <w:marRight w:val="0"/>
      <w:marTop w:val="0"/>
      <w:marBottom w:val="0"/>
      <w:divBdr>
        <w:top w:val="none" w:sz="0" w:space="0" w:color="auto"/>
        <w:left w:val="none" w:sz="0" w:space="0" w:color="auto"/>
        <w:bottom w:val="none" w:sz="0" w:space="0" w:color="auto"/>
        <w:right w:val="none" w:sz="0" w:space="0" w:color="auto"/>
      </w:divBdr>
      <w:divsChild>
        <w:div w:id="183626405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994265794">
      <w:bodyDiv w:val="1"/>
      <w:marLeft w:val="0"/>
      <w:marRight w:val="0"/>
      <w:marTop w:val="0"/>
      <w:marBottom w:val="0"/>
      <w:divBdr>
        <w:top w:val="none" w:sz="0" w:space="0" w:color="auto"/>
        <w:left w:val="none" w:sz="0" w:space="0" w:color="auto"/>
        <w:bottom w:val="none" w:sz="0" w:space="0" w:color="auto"/>
        <w:right w:val="none" w:sz="0" w:space="0" w:color="auto"/>
      </w:divBdr>
    </w:div>
    <w:div w:id="1206137700">
      <w:bodyDiv w:val="1"/>
      <w:marLeft w:val="0"/>
      <w:marRight w:val="0"/>
      <w:marTop w:val="0"/>
      <w:marBottom w:val="0"/>
      <w:divBdr>
        <w:top w:val="none" w:sz="0" w:space="0" w:color="auto"/>
        <w:left w:val="none" w:sz="0" w:space="0" w:color="auto"/>
        <w:bottom w:val="none" w:sz="0" w:space="0" w:color="auto"/>
        <w:right w:val="none" w:sz="0" w:space="0" w:color="auto"/>
      </w:divBdr>
    </w:div>
    <w:div w:id="1241210654">
      <w:bodyDiv w:val="1"/>
      <w:marLeft w:val="0"/>
      <w:marRight w:val="0"/>
      <w:marTop w:val="0"/>
      <w:marBottom w:val="0"/>
      <w:divBdr>
        <w:top w:val="none" w:sz="0" w:space="0" w:color="auto"/>
        <w:left w:val="none" w:sz="0" w:space="0" w:color="auto"/>
        <w:bottom w:val="none" w:sz="0" w:space="0" w:color="auto"/>
        <w:right w:val="none" w:sz="0" w:space="0" w:color="auto"/>
      </w:divBdr>
    </w:div>
    <w:div w:id="1319916165">
      <w:bodyDiv w:val="1"/>
      <w:marLeft w:val="0"/>
      <w:marRight w:val="0"/>
      <w:marTop w:val="0"/>
      <w:marBottom w:val="0"/>
      <w:divBdr>
        <w:top w:val="none" w:sz="0" w:space="0" w:color="auto"/>
        <w:left w:val="none" w:sz="0" w:space="0" w:color="auto"/>
        <w:bottom w:val="none" w:sz="0" w:space="0" w:color="auto"/>
        <w:right w:val="none" w:sz="0" w:space="0" w:color="auto"/>
      </w:divBdr>
      <w:divsChild>
        <w:div w:id="504906352">
          <w:marLeft w:val="547"/>
          <w:marRight w:val="0"/>
          <w:marTop w:val="96"/>
          <w:marBottom w:val="0"/>
          <w:divBdr>
            <w:top w:val="none" w:sz="0" w:space="0" w:color="auto"/>
            <w:left w:val="none" w:sz="0" w:space="0" w:color="auto"/>
            <w:bottom w:val="none" w:sz="0" w:space="0" w:color="auto"/>
            <w:right w:val="none" w:sz="0" w:space="0" w:color="auto"/>
          </w:divBdr>
        </w:div>
      </w:divsChild>
    </w:div>
    <w:div w:id="1380591018">
      <w:bodyDiv w:val="1"/>
      <w:marLeft w:val="0"/>
      <w:marRight w:val="0"/>
      <w:marTop w:val="0"/>
      <w:marBottom w:val="0"/>
      <w:divBdr>
        <w:top w:val="none" w:sz="0" w:space="0" w:color="auto"/>
        <w:left w:val="none" w:sz="0" w:space="0" w:color="auto"/>
        <w:bottom w:val="none" w:sz="0" w:space="0" w:color="auto"/>
        <w:right w:val="none" w:sz="0" w:space="0" w:color="auto"/>
      </w:divBdr>
      <w:divsChild>
        <w:div w:id="1359235584">
          <w:marLeft w:val="547"/>
          <w:marRight w:val="0"/>
          <w:marTop w:val="154"/>
          <w:marBottom w:val="0"/>
          <w:divBdr>
            <w:top w:val="none" w:sz="0" w:space="0" w:color="auto"/>
            <w:left w:val="none" w:sz="0" w:space="0" w:color="auto"/>
            <w:bottom w:val="none" w:sz="0" w:space="0" w:color="auto"/>
            <w:right w:val="none" w:sz="0" w:space="0" w:color="auto"/>
          </w:divBdr>
        </w:div>
        <w:div w:id="972172936">
          <w:marLeft w:val="547"/>
          <w:marRight w:val="0"/>
          <w:marTop w:val="154"/>
          <w:marBottom w:val="0"/>
          <w:divBdr>
            <w:top w:val="none" w:sz="0" w:space="0" w:color="auto"/>
            <w:left w:val="none" w:sz="0" w:space="0" w:color="auto"/>
            <w:bottom w:val="none" w:sz="0" w:space="0" w:color="auto"/>
            <w:right w:val="none" w:sz="0" w:space="0" w:color="auto"/>
          </w:divBdr>
        </w:div>
        <w:div w:id="232545454">
          <w:marLeft w:val="547"/>
          <w:marRight w:val="0"/>
          <w:marTop w:val="154"/>
          <w:marBottom w:val="0"/>
          <w:divBdr>
            <w:top w:val="none" w:sz="0" w:space="0" w:color="auto"/>
            <w:left w:val="none" w:sz="0" w:space="0" w:color="auto"/>
            <w:bottom w:val="none" w:sz="0" w:space="0" w:color="auto"/>
            <w:right w:val="none" w:sz="0" w:space="0" w:color="auto"/>
          </w:divBdr>
        </w:div>
        <w:div w:id="1975717794">
          <w:marLeft w:val="547"/>
          <w:marRight w:val="0"/>
          <w:marTop w:val="154"/>
          <w:marBottom w:val="0"/>
          <w:divBdr>
            <w:top w:val="none" w:sz="0" w:space="0" w:color="auto"/>
            <w:left w:val="none" w:sz="0" w:space="0" w:color="auto"/>
            <w:bottom w:val="none" w:sz="0" w:space="0" w:color="auto"/>
            <w:right w:val="none" w:sz="0" w:space="0" w:color="auto"/>
          </w:divBdr>
        </w:div>
      </w:divsChild>
    </w:div>
    <w:div w:id="1407148308">
      <w:bodyDiv w:val="1"/>
      <w:marLeft w:val="0"/>
      <w:marRight w:val="0"/>
      <w:marTop w:val="0"/>
      <w:marBottom w:val="0"/>
      <w:divBdr>
        <w:top w:val="none" w:sz="0" w:space="0" w:color="auto"/>
        <w:left w:val="none" w:sz="0" w:space="0" w:color="auto"/>
        <w:bottom w:val="none" w:sz="0" w:space="0" w:color="auto"/>
        <w:right w:val="none" w:sz="0" w:space="0" w:color="auto"/>
      </w:divBdr>
      <w:divsChild>
        <w:div w:id="437339189">
          <w:marLeft w:val="0"/>
          <w:marRight w:val="0"/>
          <w:marTop w:val="0"/>
          <w:marBottom w:val="0"/>
          <w:divBdr>
            <w:top w:val="none" w:sz="0" w:space="0" w:color="auto"/>
            <w:left w:val="none" w:sz="0" w:space="0" w:color="auto"/>
            <w:bottom w:val="none" w:sz="0" w:space="0" w:color="auto"/>
            <w:right w:val="none" w:sz="0" w:space="0" w:color="auto"/>
          </w:divBdr>
          <w:divsChild>
            <w:div w:id="1386642621">
              <w:marLeft w:val="0"/>
              <w:marRight w:val="0"/>
              <w:marTop w:val="0"/>
              <w:marBottom w:val="0"/>
              <w:divBdr>
                <w:top w:val="none" w:sz="0" w:space="0" w:color="auto"/>
                <w:left w:val="none" w:sz="0" w:space="0" w:color="auto"/>
                <w:bottom w:val="none" w:sz="0" w:space="0" w:color="auto"/>
                <w:right w:val="none" w:sz="0" w:space="0" w:color="auto"/>
              </w:divBdr>
              <w:divsChild>
                <w:div w:id="8535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60537">
      <w:bodyDiv w:val="1"/>
      <w:marLeft w:val="0"/>
      <w:marRight w:val="0"/>
      <w:marTop w:val="0"/>
      <w:marBottom w:val="0"/>
      <w:divBdr>
        <w:top w:val="none" w:sz="0" w:space="0" w:color="auto"/>
        <w:left w:val="none" w:sz="0" w:space="0" w:color="auto"/>
        <w:bottom w:val="none" w:sz="0" w:space="0" w:color="auto"/>
        <w:right w:val="none" w:sz="0" w:space="0" w:color="auto"/>
      </w:divBdr>
      <w:divsChild>
        <w:div w:id="511647793">
          <w:marLeft w:val="547"/>
          <w:marRight w:val="0"/>
          <w:marTop w:val="115"/>
          <w:marBottom w:val="0"/>
          <w:divBdr>
            <w:top w:val="none" w:sz="0" w:space="0" w:color="auto"/>
            <w:left w:val="none" w:sz="0" w:space="0" w:color="auto"/>
            <w:bottom w:val="none" w:sz="0" w:space="0" w:color="auto"/>
            <w:right w:val="none" w:sz="0" w:space="0" w:color="auto"/>
          </w:divBdr>
        </w:div>
        <w:div w:id="1231430933">
          <w:marLeft w:val="547"/>
          <w:marRight w:val="0"/>
          <w:marTop w:val="115"/>
          <w:marBottom w:val="0"/>
          <w:divBdr>
            <w:top w:val="none" w:sz="0" w:space="0" w:color="auto"/>
            <w:left w:val="none" w:sz="0" w:space="0" w:color="auto"/>
            <w:bottom w:val="none" w:sz="0" w:space="0" w:color="auto"/>
            <w:right w:val="none" w:sz="0" w:space="0" w:color="auto"/>
          </w:divBdr>
        </w:div>
        <w:div w:id="2130467888">
          <w:marLeft w:val="547"/>
          <w:marRight w:val="0"/>
          <w:marTop w:val="115"/>
          <w:marBottom w:val="0"/>
          <w:divBdr>
            <w:top w:val="none" w:sz="0" w:space="0" w:color="auto"/>
            <w:left w:val="none" w:sz="0" w:space="0" w:color="auto"/>
            <w:bottom w:val="none" w:sz="0" w:space="0" w:color="auto"/>
            <w:right w:val="none" w:sz="0" w:space="0" w:color="auto"/>
          </w:divBdr>
        </w:div>
        <w:div w:id="1247374152">
          <w:marLeft w:val="547"/>
          <w:marRight w:val="0"/>
          <w:marTop w:val="115"/>
          <w:marBottom w:val="0"/>
          <w:divBdr>
            <w:top w:val="none" w:sz="0" w:space="0" w:color="auto"/>
            <w:left w:val="none" w:sz="0" w:space="0" w:color="auto"/>
            <w:bottom w:val="none" w:sz="0" w:space="0" w:color="auto"/>
            <w:right w:val="none" w:sz="0" w:space="0" w:color="auto"/>
          </w:divBdr>
        </w:div>
      </w:divsChild>
    </w:div>
    <w:div w:id="1839225384">
      <w:bodyDiv w:val="1"/>
      <w:marLeft w:val="0"/>
      <w:marRight w:val="0"/>
      <w:marTop w:val="0"/>
      <w:marBottom w:val="0"/>
      <w:divBdr>
        <w:top w:val="none" w:sz="0" w:space="0" w:color="auto"/>
        <w:left w:val="none" w:sz="0" w:space="0" w:color="auto"/>
        <w:bottom w:val="none" w:sz="0" w:space="0" w:color="auto"/>
        <w:right w:val="none" w:sz="0" w:space="0" w:color="auto"/>
      </w:divBdr>
      <w:divsChild>
        <w:div w:id="1695770785">
          <w:marLeft w:val="547"/>
          <w:marRight w:val="0"/>
          <w:marTop w:val="96"/>
          <w:marBottom w:val="0"/>
          <w:divBdr>
            <w:top w:val="none" w:sz="0" w:space="0" w:color="auto"/>
            <w:left w:val="none" w:sz="0" w:space="0" w:color="auto"/>
            <w:bottom w:val="none" w:sz="0" w:space="0" w:color="auto"/>
            <w:right w:val="none" w:sz="0" w:space="0" w:color="auto"/>
          </w:divBdr>
        </w:div>
        <w:div w:id="98137666">
          <w:marLeft w:val="547"/>
          <w:marRight w:val="0"/>
          <w:marTop w:val="96"/>
          <w:marBottom w:val="0"/>
          <w:divBdr>
            <w:top w:val="none" w:sz="0" w:space="0" w:color="auto"/>
            <w:left w:val="none" w:sz="0" w:space="0" w:color="auto"/>
            <w:bottom w:val="none" w:sz="0" w:space="0" w:color="auto"/>
            <w:right w:val="none" w:sz="0" w:space="0" w:color="auto"/>
          </w:divBdr>
        </w:div>
      </w:divsChild>
    </w:div>
    <w:div w:id="1974947360">
      <w:bodyDiv w:val="1"/>
      <w:marLeft w:val="0"/>
      <w:marRight w:val="0"/>
      <w:marTop w:val="0"/>
      <w:marBottom w:val="0"/>
      <w:divBdr>
        <w:top w:val="none" w:sz="0" w:space="0" w:color="auto"/>
        <w:left w:val="none" w:sz="0" w:space="0" w:color="auto"/>
        <w:bottom w:val="none" w:sz="0" w:space="0" w:color="auto"/>
        <w:right w:val="none" w:sz="0" w:space="0" w:color="auto"/>
      </w:divBdr>
    </w:div>
    <w:div w:id="1980648861">
      <w:bodyDiv w:val="1"/>
      <w:marLeft w:val="0"/>
      <w:marRight w:val="0"/>
      <w:marTop w:val="0"/>
      <w:marBottom w:val="0"/>
      <w:divBdr>
        <w:top w:val="none" w:sz="0" w:space="0" w:color="auto"/>
        <w:left w:val="none" w:sz="0" w:space="0" w:color="auto"/>
        <w:bottom w:val="none" w:sz="0" w:space="0" w:color="auto"/>
        <w:right w:val="none" w:sz="0" w:space="0" w:color="auto"/>
      </w:divBdr>
      <w:divsChild>
        <w:div w:id="152139372">
          <w:marLeft w:val="547"/>
          <w:marRight w:val="0"/>
          <w:marTop w:val="106"/>
          <w:marBottom w:val="0"/>
          <w:divBdr>
            <w:top w:val="none" w:sz="0" w:space="0" w:color="auto"/>
            <w:left w:val="none" w:sz="0" w:space="0" w:color="auto"/>
            <w:bottom w:val="none" w:sz="0" w:space="0" w:color="auto"/>
            <w:right w:val="none" w:sz="0" w:space="0" w:color="auto"/>
          </w:divBdr>
        </w:div>
        <w:div w:id="936134530">
          <w:marLeft w:val="547"/>
          <w:marRight w:val="0"/>
          <w:marTop w:val="106"/>
          <w:marBottom w:val="0"/>
          <w:divBdr>
            <w:top w:val="none" w:sz="0" w:space="0" w:color="auto"/>
            <w:left w:val="none" w:sz="0" w:space="0" w:color="auto"/>
            <w:bottom w:val="none" w:sz="0" w:space="0" w:color="auto"/>
            <w:right w:val="none" w:sz="0" w:space="0" w:color="auto"/>
          </w:divBdr>
        </w:div>
        <w:div w:id="1406806730">
          <w:marLeft w:val="547"/>
          <w:marRight w:val="0"/>
          <w:marTop w:val="106"/>
          <w:marBottom w:val="0"/>
          <w:divBdr>
            <w:top w:val="none" w:sz="0" w:space="0" w:color="auto"/>
            <w:left w:val="none" w:sz="0" w:space="0" w:color="auto"/>
            <w:bottom w:val="none" w:sz="0" w:space="0" w:color="auto"/>
            <w:right w:val="none" w:sz="0" w:space="0" w:color="auto"/>
          </w:divBdr>
        </w:div>
        <w:div w:id="716003998">
          <w:marLeft w:val="547"/>
          <w:marRight w:val="0"/>
          <w:marTop w:val="106"/>
          <w:marBottom w:val="0"/>
          <w:divBdr>
            <w:top w:val="none" w:sz="0" w:space="0" w:color="auto"/>
            <w:left w:val="none" w:sz="0" w:space="0" w:color="auto"/>
            <w:bottom w:val="none" w:sz="0" w:space="0" w:color="auto"/>
            <w:right w:val="none" w:sz="0" w:space="0" w:color="auto"/>
          </w:divBdr>
        </w:div>
      </w:divsChild>
    </w:div>
    <w:div w:id="2083982398">
      <w:bodyDiv w:val="1"/>
      <w:marLeft w:val="0"/>
      <w:marRight w:val="0"/>
      <w:marTop w:val="0"/>
      <w:marBottom w:val="0"/>
      <w:divBdr>
        <w:top w:val="none" w:sz="0" w:space="0" w:color="auto"/>
        <w:left w:val="none" w:sz="0" w:space="0" w:color="auto"/>
        <w:bottom w:val="none" w:sz="0" w:space="0" w:color="auto"/>
        <w:right w:val="none" w:sz="0" w:space="0" w:color="auto"/>
      </w:divBdr>
      <w:divsChild>
        <w:div w:id="1673027229">
          <w:marLeft w:val="547"/>
          <w:marRight w:val="0"/>
          <w:marTop w:val="134"/>
          <w:marBottom w:val="0"/>
          <w:divBdr>
            <w:top w:val="none" w:sz="0" w:space="0" w:color="auto"/>
            <w:left w:val="none" w:sz="0" w:space="0" w:color="auto"/>
            <w:bottom w:val="none" w:sz="0" w:space="0" w:color="auto"/>
            <w:right w:val="none" w:sz="0" w:space="0" w:color="auto"/>
          </w:divBdr>
        </w:div>
        <w:div w:id="1999572511">
          <w:marLeft w:val="547"/>
          <w:marRight w:val="0"/>
          <w:marTop w:val="134"/>
          <w:marBottom w:val="0"/>
          <w:divBdr>
            <w:top w:val="none" w:sz="0" w:space="0" w:color="auto"/>
            <w:left w:val="none" w:sz="0" w:space="0" w:color="auto"/>
            <w:bottom w:val="none" w:sz="0" w:space="0" w:color="auto"/>
            <w:right w:val="none" w:sz="0" w:space="0" w:color="auto"/>
          </w:divBdr>
        </w:div>
        <w:div w:id="292442852">
          <w:marLeft w:val="547"/>
          <w:marRight w:val="0"/>
          <w:marTop w:val="134"/>
          <w:marBottom w:val="0"/>
          <w:divBdr>
            <w:top w:val="none" w:sz="0" w:space="0" w:color="auto"/>
            <w:left w:val="none" w:sz="0" w:space="0" w:color="auto"/>
            <w:bottom w:val="none" w:sz="0" w:space="0" w:color="auto"/>
            <w:right w:val="none" w:sz="0" w:space="0" w:color="auto"/>
          </w:divBdr>
        </w:div>
        <w:div w:id="152181464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lanned_obsolesce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gp-pop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33B5F-44AF-4527-989A-250C7E8C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2437</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THINK REGIONAL ACT LOCAL: SGP APPROACH IN INTERNATIONAL WATERS FOCAL AREA</vt:lpstr>
    </vt:vector>
  </TitlesOfParts>
  <Company>Microsoft</Company>
  <LinksUpToDate>false</LinksUpToDate>
  <CharactersWithSpaces>16298</CharactersWithSpaces>
  <SharedDoc>false</SharedDoc>
  <HLinks>
    <vt:vector size="12" baseType="variant">
      <vt:variant>
        <vt:i4>3866747</vt:i4>
      </vt:variant>
      <vt:variant>
        <vt:i4>9</vt:i4>
      </vt:variant>
      <vt:variant>
        <vt:i4>0</vt:i4>
      </vt:variant>
      <vt:variant>
        <vt:i4>5</vt:i4>
      </vt:variant>
      <vt:variant>
        <vt:lpwstr>http://www.iwlearn.net/</vt:lpwstr>
      </vt:variant>
      <vt:variant>
        <vt:lpwstr/>
      </vt:variant>
      <vt:variant>
        <vt:i4>65553</vt:i4>
      </vt:variant>
      <vt:variant>
        <vt:i4>3</vt:i4>
      </vt:variant>
      <vt:variant>
        <vt:i4>0</vt:i4>
      </vt:variant>
      <vt:variant>
        <vt:i4>5</vt:i4>
      </vt:variant>
      <vt:variant>
        <vt:lpwstr>http://concise.britannica.com/ebc/art-40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REGIONAL ACT LOCAL: SGP APPROACH IN INTERNATIONAL WATERS FOCAL AREA</dc:title>
  <dc:creator>Sulan Chen</dc:creator>
  <cp:lastModifiedBy>Sulan Chen</cp:lastModifiedBy>
  <cp:revision>3</cp:revision>
  <cp:lastPrinted>2011-08-15T16:38:00Z</cp:lastPrinted>
  <dcterms:created xsi:type="dcterms:W3CDTF">2015-08-07T21:30:00Z</dcterms:created>
  <dcterms:modified xsi:type="dcterms:W3CDTF">2016-03-04T15:58:00Z</dcterms:modified>
</cp:coreProperties>
</file>